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AF7E" w14:textId="77777777" w:rsidR="00981129" w:rsidRPr="00CE553F" w:rsidRDefault="00981129" w:rsidP="005D16FA">
      <w:pPr>
        <w:pStyle w:val="Heading5"/>
        <w:rPr>
          <w:rFonts w:asciiTheme="minorHAnsi" w:hAnsiTheme="minorHAnsi" w:cstheme="minorHAnsi"/>
          <w:sz w:val="24"/>
          <w:u w:val="none"/>
        </w:rPr>
      </w:pPr>
      <w:bookmarkStart w:id="0" w:name="_Hlk501016721"/>
      <w:bookmarkEnd w:id="0"/>
      <w:r w:rsidRPr="00CE553F">
        <w:rPr>
          <w:rFonts w:asciiTheme="minorHAnsi" w:hAnsiTheme="minorHAnsi" w:cstheme="minorHAnsi"/>
          <w:noProof/>
          <w:sz w:val="24"/>
          <w:lang w:eastAsia="en-GB"/>
        </w:rPr>
        <w:drawing>
          <wp:anchor distT="0" distB="0" distL="114300" distR="114300" simplePos="0" relativeHeight="251657216" behindDoc="0" locked="0" layoutInCell="1" allowOverlap="1" wp14:anchorId="68202A1F" wp14:editId="34FCE897">
            <wp:simplePos x="0" y="0"/>
            <wp:positionH relativeFrom="margin">
              <wp:posOffset>2374900</wp:posOffset>
            </wp:positionH>
            <wp:positionV relativeFrom="margin">
              <wp:posOffset>-561975</wp:posOffset>
            </wp:positionV>
            <wp:extent cx="1096010" cy="1082675"/>
            <wp:effectExtent l="0" t="0" r="889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31F08" w14:textId="77777777" w:rsidR="00981129" w:rsidRPr="00CE553F" w:rsidRDefault="00981129" w:rsidP="005D16FA">
      <w:pPr>
        <w:pStyle w:val="Heading5"/>
        <w:rPr>
          <w:rFonts w:asciiTheme="minorHAnsi" w:hAnsiTheme="minorHAnsi" w:cstheme="minorHAnsi"/>
          <w:sz w:val="24"/>
          <w:u w:val="none"/>
        </w:rPr>
      </w:pPr>
    </w:p>
    <w:p w14:paraId="496A60D4" w14:textId="77777777" w:rsidR="00981129" w:rsidRPr="00CE553F" w:rsidRDefault="00981129" w:rsidP="005D16FA">
      <w:pPr>
        <w:pStyle w:val="Heading5"/>
        <w:rPr>
          <w:rFonts w:asciiTheme="minorHAnsi" w:hAnsiTheme="minorHAnsi" w:cstheme="minorHAnsi"/>
          <w:sz w:val="24"/>
          <w:u w:val="none"/>
        </w:rPr>
      </w:pPr>
    </w:p>
    <w:p w14:paraId="11118693" w14:textId="77777777" w:rsidR="00981129" w:rsidRPr="00CE553F" w:rsidRDefault="00981129" w:rsidP="005D16FA">
      <w:pPr>
        <w:pStyle w:val="Heading5"/>
        <w:rPr>
          <w:rFonts w:asciiTheme="minorHAnsi" w:hAnsiTheme="minorHAnsi" w:cstheme="minorHAnsi"/>
          <w:sz w:val="24"/>
          <w:u w:val="none"/>
        </w:rPr>
      </w:pPr>
    </w:p>
    <w:p w14:paraId="68647BE8" w14:textId="77777777" w:rsidR="00981129" w:rsidRPr="00CE553F" w:rsidRDefault="00981129" w:rsidP="005D16FA">
      <w:pPr>
        <w:pStyle w:val="Heading5"/>
        <w:rPr>
          <w:rFonts w:asciiTheme="minorHAnsi" w:hAnsiTheme="minorHAnsi" w:cstheme="minorHAnsi"/>
          <w:sz w:val="24"/>
          <w:u w:val="none"/>
        </w:rPr>
      </w:pPr>
      <w:r w:rsidRPr="00CE553F">
        <w:rPr>
          <w:rFonts w:asciiTheme="minorHAnsi" w:hAnsiTheme="minorHAnsi" w:cstheme="minorHAnsi"/>
          <w:sz w:val="24"/>
          <w:u w:val="none"/>
        </w:rPr>
        <w:t>Cheshire &amp; Warrington Local Enterprise Partnership</w:t>
      </w:r>
    </w:p>
    <w:p w14:paraId="7CD512C2" w14:textId="6E50E6CE" w:rsidR="00981129" w:rsidRPr="00CE553F" w:rsidRDefault="00615AA9" w:rsidP="00153C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tbl>
      <w:tblPr>
        <w:tblW w:w="909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5138"/>
        <w:gridCol w:w="3958"/>
      </w:tblGrid>
      <w:tr w:rsidR="00207415" w:rsidRPr="00CE553F" w14:paraId="6D03F54D" w14:textId="77777777" w:rsidTr="00233FFD">
        <w:trPr>
          <w:trHeight w:val="449"/>
          <w:jc w:val="center"/>
        </w:trPr>
        <w:tc>
          <w:tcPr>
            <w:tcW w:w="5138" w:type="dxa"/>
            <w:shd w:val="clear" w:color="auto" w:fill="C0C0C0"/>
          </w:tcPr>
          <w:p w14:paraId="153DA393" w14:textId="4C8B286D" w:rsidR="00207415" w:rsidRPr="00CE553F" w:rsidRDefault="00207415" w:rsidP="00153C0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553F">
              <w:rPr>
                <w:rFonts w:cstheme="minorHAnsi"/>
                <w:b/>
                <w:sz w:val="24"/>
                <w:szCs w:val="24"/>
              </w:rPr>
              <w:t xml:space="preserve">Title: </w:t>
            </w:r>
            <w:r w:rsidR="00B4292A">
              <w:rPr>
                <w:rFonts w:cstheme="minorHAnsi"/>
                <w:b/>
                <w:sz w:val="24"/>
                <w:szCs w:val="24"/>
              </w:rPr>
              <w:t>Local</w:t>
            </w:r>
            <w:r w:rsidR="00615AA9">
              <w:rPr>
                <w:rFonts w:cstheme="minorHAnsi"/>
                <w:b/>
                <w:sz w:val="24"/>
                <w:szCs w:val="24"/>
              </w:rPr>
              <w:t xml:space="preserve"> Assurance Framework</w:t>
            </w:r>
          </w:p>
        </w:tc>
        <w:tc>
          <w:tcPr>
            <w:tcW w:w="3958" w:type="dxa"/>
            <w:shd w:val="clear" w:color="auto" w:fill="C0C0C0"/>
          </w:tcPr>
          <w:p w14:paraId="78B9050E" w14:textId="30B36AF1" w:rsidR="00207415" w:rsidRPr="00CE553F" w:rsidRDefault="00207415" w:rsidP="00207415">
            <w:pPr>
              <w:rPr>
                <w:rFonts w:cstheme="minorHAnsi"/>
                <w:b/>
                <w:sz w:val="24"/>
                <w:szCs w:val="24"/>
              </w:rPr>
            </w:pPr>
            <w:r w:rsidRPr="00CE553F">
              <w:rPr>
                <w:rFonts w:cstheme="minorHAnsi"/>
                <w:b/>
                <w:sz w:val="24"/>
                <w:szCs w:val="24"/>
              </w:rPr>
              <w:t>Agenda item:</w:t>
            </w:r>
          </w:p>
        </w:tc>
      </w:tr>
      <w:tr w:rsidR="00207415" w:rsidRPr="00CE553F" w14:paraId="5AAA6081" w14:textId="77777777" w:rsidTr="00233FFD">
        <w:trPr>
          <w:trHeight w:val="558"/>
          <w:jc w:val="center"/>
        </w:trPr>
        <w:tc>
          <w:tcPr>
            <w:tcW w:w="5138" w:type="dxa"/>
            <w:shd w:val="clear" w:color="auto" w:fill="C0C0C0"/>
          </w:tcPr>
          <w:p w14:paraId="4BE677B1" w14:textId="77777777" w:rsidR="00207415" w:rsidRPr="00CE553F" w:rsidRDefault="00233FFD" w:rsidP="00153C0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553F">
              <w:rPr>
                <w:rFonts w:cstheme="minorHAnsi"/>
                <w:b/>
                <w:sz w:val="24"/>
                <w:szCs w:val="24"/>
              </w:rPr>
              <w:t>Prepared by: Rachel Brosnahan</w:t>
            </w:r>
          </w:p>
        </w:tc>
        <w:tc>
          <w:tcPr>
            <w:tcW w:w="3958" w:type="dxa"/>
            <w:shd w:val="clear" w:color="auto" w:fill="C0C0C0"/>
          </w:tcPr>
          <w:p w14:paraId="638AB0B8" w14:textId="6397D4ED" w:rsidR="00207415" w:rsidRPr="00CE553F" w:rsidRDefault="00C02811" w:rsidP="00207415">
            <w:pPr>
              <w:rPr>
                <w:rFonts w:cstheme="minorHAnsi"/>
                <w:b/>
                <w:sz w:val="24"/>
                <w:szCs w:val="24"/>
              </w:rPr>
            </w:pPr>
            <w:r w:rsidRPr="00CE553F">
              <w:rPr>
                <w:rFonts w:cstheme="minorHAnsi"/>
                <w:b/>
                <w:sz w:val="24"/>
                <w:szCs w:val="24"/>
              </w:rPr>
              <w:t xml:space="preserve">Date of Report: </w:t>
            </w:r>
            <w:r w:rsidR="00B4292A">
              <w:rPr>
                <w:rFonts w:cstheme="minorHAnsi"/>
                <w:b/>
                <w:sz w:val="24"/>
                <w:szCs w:val="24"/>
              </w:rPr>
              <w:t>20</w:t>
            </w:r>
            <w:r w:rsidR="00B4292A" w:rsidRPr="00B4292A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B4292A">
              <w:rPr>
                <w:rFonts w:cstheme="minorHAnsi"/>
                <w:b/>
                <w:sz w:val="24"/>
                <w:szCs w:val="24"/>
              </w:rPr>
              <w:t xml:space="preserve"> March </w:t>
            </w:r>
            <w:r w:rsidR="00615AA9">
              <w:rPr>
                <w:rFonts w:cstheme="minorHAnsi"/>
                <w:b/>
                <w:sz w:val="24"/>
                <w:szCs w:val="24"/>
              </w:rPr>
              <w:t>2019</w:t>
            </w:r>
          </w:p>
        </w:tc>
      </w:tr>
    </w:tbl>
    <w:p w14:paraId="554510A6" w14:textId="77777777" w:rsidR="00F706D5" w:rsidRPr="00CE553F" w:rsidRDefault="00F706D5" w:rsidP="00153C0D">
      <w:pPr>
        <w:jc w:val="both"/>
        <w:rPr>
          <w:rFonts w:cstheme="minorHAnsi"/>
          <w:sz w:val="24"/>
          <w:szCs w:val="24"/>
        </w:rPr>
      </w:pPr>
    </w:p>
    <w:p w14:paraId="595F1BD3" w14:textId="67173577" w:rsidR="005E1575" w:rsidRPr="00CE553F" w:rsidRDefault="00207415" w:rsidP="005E157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CE553F">
        <w:rPr>
          <w:rFonts w:cstheme="minorHAnsi"/>
          <w:b/>
          <w:sz w:val="24"/>
          <w:szCs w:val="24"/>
        </w:rPr>
        <w:t xml:space="preserve">Executive </w:t>
      </w:r>
      <w:r w:rsidR="00BC562B" w:rsidRPr="00CE553F">
        <w:rPr>
          <w:rFonts w:cstheme="minorHAnsi"/>
          <w:b/>
          <w:sz w:val="24"/>
          <w:szCs w:val="24"/>
        </w:rPr>
        <w:t>Summa</w:t>
      </w:r>
      <w:r w:rsidR="005E1575" w:rsidRPr="00CE553F">
        <w:rPr>
          <w:rFonts w:cstheme="minorHAnsi"/>
          <w:b/>
          <w:sz w:val="24"/>
          <w:szCs w:val="24"/>
        </w:rPr>
        <w:t>ry</w:t>
      </w:r>
    </w:p>
    <w:p w14:paraId="510C79C5" w14:textId="66A86556" w:rsidR="00DE593D" w:rsidRPr="00CE553F" w:rsidRDefault="00DE593D" w:rsidP="005E1575">
      <w:pPr>
        <w:pStyle w:val="ListParagraph"/>
        <w:ind w:left="360"/>
        <w:jc w:val="both"/>
        <w:rPr>
          <w:rFonts w:cstheme="minorHAnsi"/>
          <w:b/>
          <w:sz w:val="24"/>
          <w:szCs w:val="24"/>
        </w:rPr>
      </w:pPr>
    </w:p>
    <w:p w14:paraId="40AD8560" w14:textId="783979AC" w:rsidR="00413D97" w:rsidRDefault="002A1E3A" w:rsidP="005E1575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 w:rsidRPr="00413D97">
        <w:rPr>
          <w:rFonts w:cstheme="minorHAnsi"/>
          <w:sz w:val="24"/>
          <w:szCs w:val="24"/>
        </w:rPr>
        <w:t>An updated National Assurance Framework</w:t>
      </w:r>
      <w:r w:rsidR="00DF602B">
        <w:rPr>
          <w:rFonts w:cstheme="minorHAnsi"/>
          <w:sz w:val="24"/>
          <w:szCs w:val="24"/>
        </w:rPr>
        <w:t xml:space="preserve"> (NAF)</w:t>
      </w:r>
      <w:r w:rsidRPr="00413D97">
        <w:rPr>
          <w:rFonts w:cstheme="minorHAnsi"/>
          <w:sz w:val="24"/>
          <w:szCs w:val="24"/>
        </w:rPr>
        <w:t xml:space="preserve"> has been published by MHCLG.  There is a requirement to update the LEP’s </w:t>
      </w:r>
      <w:r w:rsidR="00BD5919">
        <w:rPr>
          <w:rFonts w:cstheme="minorHAnsi"/>
          <w:sz w:val="24"/>
          <w:szCs w:val="24"/>
        </w:rPr>
        <w:t>L</w:t>
      </w:r>
      <w:r w:rsidRPr="00413D97">
        <w:rPr>
          <w:rFonts w:cstheme="minorHAnsi"/>
          <w:sz w:val="24"/>
          <w:szCs w:val="24"/>
        </w:rPr>
        <w:t>ocal Assurance Framework</w:t>
      </w:r>
      <w:r w:rsidR="00BD5919">
        <w:rPr>
          <w:rFonts w:cstheme="minorHAnsi"/>
          <w:sz w:val="24"/>
          <w:szCs w:val="24"/>
        </w:rPr>
        <w:t xml:space="preserve"> (LAF)</w:t>
      </w:r>
      <w:r w:rsidRPr="00413D97">
        <w:rPr>
          <w:rFonts w:cstheme="minorHAnsi"/>
          <w:sz w:val="24"/>
          <w:szCs w:val="24"/>
        </w:rPr>
        <w:t xml:space="preserve"> to ensure that any new guidance issued in the </w:t>
      </w:r>
      <w:r w:rsidR="00DF602B">
        <w:rPr>
          <w:rFonts w:cstheme="minorHAnsi"/>
          <w:sz w:val="24"/>
          <w:szCs w:val="24"/>
        </w:rPr>
        <w:t>N</w:t>
      </w:r>
      <w:r w:rsidRPr="00413D97">
        <w:rPr>
          <w:rFonts w:cstheme="minorHAnsi"/>
          <w:sz w:val="24"/>
          <w:szCs w:val="24"/>
        </w:rPr>
        <w:t xml:space="preserve">ational Assurance Framework is now covered.  </w:t>
      </w:r>
    </w:p>
    <w:p w14:paraId="409264E3" w14:textId="4B35214B" w:rsidR="00DF602B" w:rsidRDefault="00DF602B" w:rsidP="005E1575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504B295D" w14:textId="4FFDC474" w:rsidR="00DF602B" w:rsidRDefault="00DF602B" w:rsidP="005E1575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updated NAF addresses the recommendations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in the Non-Executive Director review into Local Enterprise Partnership Governance and Transparency (2017) and the National review into LEPs “Strengthened Local Enterprise Partnerships”</w:t>
      </w:r>
      <w:r w:rsidR="002E6996">
        <w:rPr>
          <w:rFonts w:cstheme="minorHAnsi"/>
          <w:sz w:val="24"/>
          <w:szCs w:val="24"/>
        </w:rPr>
        <w:t>.  It is divided into three parts.  Part A relates to Mayoral Combined Authorities only, Part b refers to all LEPs and Part C provides detail on providing VFM based on HMT Green Book Guidance.</w:t>
      </w:r>
    </w:p>
    <w:p w14:paraId="1A38DBA0" w14:textId="77777777" w:rsidR="00413D97" w:rsidRDefault="00413D97" w:rsidP="005E1575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79179059" w14:textId="27052E82" w:rsidR="00DC43E6" w:rsidRDefault="00413D97" w:rsidP="00413D97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revised </w:t>
      </w:r>
      <w:r w:rsidR="00BD5919">
        <w:rPr>
          <w:rFonts w:cstheme="minorHAnsi"/>
          <w:sz w:val="24"/>
          <w:szCs w:val="24"/>
        </w:rPr>
        <w:t xml:space="preserve">Local </w:t>
      </w:r>
      <w:r>
        <w:rPr>
          <w:rFonts w:cstheme="minorHAnsi"/>
          <w:sz w:val="24"/>
          <w:szCs w:val="24"/>
        </w:rPr>
        <w:t>Assurance Framework will need reviewing and signing off by the board</w:t>
      </w:r>
      <w:r w:rsidR="00DC43E6">
        <w:rPr>
          <w:rFonts w:cstheme="minorHAnsi"/>
          <w:sz w:val="24"/>
          <w:szCs w:val="24"/>
        </w:rPr>
        <w:t xml:space="preserve"> no later than the 31</w:t>
      </w:r>
      <w:r w:rsidR="00DC43E6" w:rsidRPr="00DC43E6">
        <w:rPr>
          <w:rFonts w:cstheme="minorHAnsi"/>
          <w:sz w:val="24"/>
          <w:szCs w:val="24"/>
          <w:vertAlign w:val="superscript"/>
        </w:rPr>
        <w:t>st</w:t>
      </w:r>
      <w:r w:rsidR="00DC43E6">
        <w:rPr>
          <w:rFonts w:cstheme="minorHAnsi"/>
          <w:sz w:val="24"/>
          <w:szCs w:val="24"/>
        </w:rPr>
        <w:t xml:space="preserve"> March 2019</w:t>
      </w:r>
      <w:r>
        <w:rPr>
          <w:rFonts w:cstheme="minorHAnsi"/>
          <w:sz w:val="24"/>
          <w:szCs w:val="24"/>
        </w:rPr>
        <w:t xml:space="preserve">.  </w:t>
      </w:r>
    </w:p>
    <w:p w14:paraId="4535684B" w14:textId="77777777" w:rsidR="00DC43E6" w:rsidRDefault="00DC43E6" w:rsidP="00413D97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124E4765" w14:textId="4C77ED3C" w:rsidR="00413D97" w:rsidRPr="00413D97" w:rsidRDefault="00413D97" w:rsidP="00413D97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Following this there will be an audit of the updated Framework </w:t>
      </w:r>
      <w:r w:rsidR="00B4292A">
        <w:rPr>
          <w:rFonts w:cstheme="minorHAnsi"/>
          <w:sz w:val="24"/>
          <w:szCs w:val="24"/>
        </w:rPr>
        <w:t xml:space="preserve">and it will need to be </w:t>
      </w:r>
      <w:r w:rsidR="004B2A4D">
        <w:rPr>
          <w:rFonts w:cstheme="minorHAnsi"/>
          <w:sz w:val="24"/>
          <w:szCs w:val="24"/>
        </w:rPr>
        <w:t>agreed</w:t>
      </w:r>
      <w:r w:rsidR="00B4292A">
        <w:rPr>
          <w:rFonts w:cstheme="minorHAnsi"/>
          <w:sz w:val="24"/>
          <w:szCs w:val="24"/>
        </w:rPr>
        <w:t xml:space="preserve"> </w:t>
      </w:r>
      <w:r w:rsidR="00BD5919">
        <w:rPr>
          <w:rFonts w:cstheme="minorHAnsi"/>
          <w:sz w:val="24"/>
          <w:szCs w:val="24"/>
        </w:rPr>
        <w:t xml:space="preserve">by </w:t>
      </w:r>
      <w:r w:rsidR="00B4292A">
        <w:rPr>
          <w:rFonts w:cstheme="minorHAnsi"/>
          <w:sz w:val="24"/>
          <w:szCs w:val="24"/>
        </w:rPr>
        <w:t xml:space="preserve">the </w:t>
      </w:r>
      <w:r w:rsidR="008C6B03">
        <w:rPr>
          <w:rFonts w:cstheme="minorHAnsi"/>
          <w:sz w:val="24"/>
          <w:szCs w:val="24"/>
        </w:rPr>
        <w:t>S</w:t>
      </w:r>
      <w:r w:rsidR="00B4292A">
        <w:rPr>
          <w:rFonts w:cstheme="minorHAnsi"/>
          <w:sz w:val="24"/>
          <w:szCs w:val="24"/>
        </w:rPr>
        <w:t xml:space="preserve">151 officer </w:t>
      </w:r>
      <w:proofErr w:type="gramStart"/>
      <w:r w:rsidR="00B4292A">
        <w:rPr>
          <w:rFonts w:cstheme="minorHAnsi"/>
          <w:sz w:val="24"/>
          <w:szCs w:val="24"/>
        </w:rPr>
        <w:t>in order for</w:t>
      </w:r>
      <w:proofErr w:type="gramEnd"/>
      <w:r w:rsidR="00B4292A">
        <w:rPr>
          <w:rFonts w:cstheme="minorHAnsi"/>
          <w:sz w:val="24"/>
          <w:szCs w:val="24"/>
        </w:rPr>
        <w:t xml:space="preserve"> the LGF</w:t>
      </w:r>
      <w:r w:rsidR="008C6B03">
        <w:rPr>
          <w:rFonts w:cstheme="minorHAnsi"/>
          <w:sz w:val="24"/>
          <w:szCs w:val="24"/>
        </w:rPr>
        <w:t xml:space="preserve"> and BEIS revenue</w:t>
      </w:r>
      <w:r w:rsidR="00B4292A">
        <w:rPr>
          <w:rFonts w:cstheme="minorHAnsi"/>
          <w:sz w:val="24"/>
          <w:szCs w:val="24"/>
        </w:rPr>
        <w:t xml:space="preserve"> payment</w:t>
      </w:r>
      <w:r w:rsidR="008C6B03">
        <w:rPr>
          <w:rFonts w:cstheme="minorHAnsi"/>
          <w:sz w:val="24"/>
          <w:szCs w:val="24"/>
        </w:rPr>
        <w:t>s</w:t>
      </w:r>
      <w:r w:rsidR="00B4292A">
        <w:rPr>
          <w:rFonts w:cstheme="minorHAnsi"/>
          <w:sz w:val="24"/>
          <w:szCs w:val="24"/>
        </w:rPr>
        <w:t xml:space="preserve"> to be made at the end of April</w:t>
      </w:r>
      <w:r>
        <w:rPr>
          <w:rFonts w:cstheme="minorHAnsi"/>
          <w:sz w:val="24"/>
          <w:szCs w:val="24"/>
        </w:rPr>
        <w:t>.</w:t>
      </w:r>
    </w:p>
    <w:p w14:paraId="3881640B" w14:textId="77777777" w:rsidR="00413D97" w:rsidRDefault="00413D97" w:rsidP="005E1575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65448E39" w14:textId="57DD4A45" w:rsidR="00DE593D" w:rsidRPr="00413D97" w:rsidRDefault="002A1E3A" w:rsidP="005E1575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 w:rsidRPr="00413D97">
        <w:rPr>
          <w:rFonts w:cstheme="minorHAnsi"/>
          <w:sz w:val="24"/>
          <w:szCs w:val="24"/>
        </w:rPr>
        <w:t xml:space="preserve">A summary of the changes </w:t>
      </w:r>
      <w:proofErr w:type="gramStart"/>
      <w:r w:rsidR="00B4292A">
        <w:rPr>
          <w:rFonts w:cstheme="minorHAnsi"/>
          <w:sz w:val="24"/>
          <w:szCs w:val="24"/>
        </w:rPr>
        <w:t>are</w:t>
      </w:r>
      <w:proofErr w:type="gramEnd"/>
      <w:r w:rsidR="00B4292A">
        <w:rPr>
          <w:rFonts w:cstheme="minorHAnsi"/>
          <w:sz w:val="24"/>
          <w:szCs w:val="24"/>
        </w:rPr>
        <w:t xml:space="preserve"> </w:t>
      </w:r>
      <w:r w:rsidRPr="00413D97">
        <w:rPr>
          <w:rFonts w:cstheme="minorHAnsi"/>
          <w:sz w:val="24"/>
          <w:szCs w:val="24"/>
        </w:rPr>
        <w:t>listed below.</w:t>
      </w:r>
    </w:p>
    <w:p w14:paraId="1D2B5C93" w14:textId="77777777" w:rsidR="002A1E3A" w:rsidRPr="00CE553F" w:rsidRDefault="002A1E3A" w:rsidP="005E1575">
      <w:pPr>
        <w:pStyle w:val="ListParagraph"/>
        <w:ind w:left="360"/>
        <w:jc w:val="both"/>
        <w:rPr>
          <w:rFonts w:cstheme="minorHAnsi"/>
          <w:b/>
          <w:sz w:val="24"/>
          <w:szCs w:val="24"/>
        </w:rPr>
      </w:pPr>
    </w:p>
    <w:p w14:paraId="36E4DB20" w14:textId="238B31F8" w:rsidR="005E1575" w:rsidRDefault="002A1E3A" w:rsidP="005E157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Summary of changes</w:t>
      </w:r>
    </w:p>
    <w:p w14:paraId="2E08C445" w14:textId="215E685B" w:rsidR="002A1E3A" w:rsidRDefault="002A1E3A" w:rsidP="002A1E3A">
      <w:pPr>
        <w:pStyle w:val="ListParagraph"/>
        <w:ind w:left="360"/>
        <w:jc w:val="both"/>
        <w:rPr>
          <w:rFonts w:cstheme="minorHAnsi"/>
          <w:b/>
          <w:sz w:val="24"/>
          <w:szCs w:val="24"/>
        </w:rPr>
      </w:pPr>
    </w:p>
    <w:p w14:paraId="3DD62401" w14:textId="2A6E4DFA" w:rsidR="002A1E3A" w:rsidRDefault="002A1E3A" w:rsidP="002A1E3A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 w:rsidRPr="00413D97">
        <w:rPr>
          <w:rFonts w:cstheme="minorHAnsi"/>
          <w:sz w:val="24"/>
          <w:szCs w:val="24"/>
        </w:rPr>
        <w:t>The LEP’s Local assurance framework was last updated in November</w:t>
      </w:r>
      <w:r w:rsidR="00BD5919">
        <w:rPr>
          <w:rFonts w:cstheme="minorHAnsi"/>
          <w:sz w:val="24"/>
          <w:szCs w:val="24"/>
        </w:rPr>
        <w:t xml:space="preserve"> 18</w:t>
      </w:r>
      <w:r w:rsidRPr="00413D97">
        <w:rPr>
          <w:rFonts w:cstheme="minorHAnsi"/>
          <w:sz w:val="24"/>
          <w:szCs w:val="24"/>
        </w:rPr>
        <w:t xml:space="preserve"> to include the updated procurement policy and had a more comprehensive update in January 18 to take account of the Mary Ney report and </w:t>
      </w:r>
      <w:r w:rsidR="00413D97" w:rsidRPr="00413D97">
        <w:rPr>
          <w:rFonts w:cstheme="minorHAnsi"/>
          <w:sz w:val="24"/>
          <w:szCs w:val="24"/>
        </w:rPr>
        <w:t>recommendations and best practice guidance from LEPs.</w:t>
      </w:r>
    </w:p>
    <w:p w14:paraId="3BCDFE5F" w14:textId="5F772782" w:rsidR="002E6996" w:rsidRDefault="002E6996" w:rsidP="002A1E3A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79339C63" w14:textId="07431F01" w:rsidR="00B4292A" w:rsidRDefault="00B4292A" w:rsidP="002A1E3A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</w:t>
      </w:r>
      <w:proofErr w:type="gramStart"/>
      <w:r>
        <w:rPr>
          <w:rFonts w:cstheme="minorHAnsi"/>
          <w:sz w:val="24"/>
          <w:szCs w:val="24"/>
        </w:rPr>
        <w:t>a number of</w:t>
      </w:r>
      <w:proofErr w:type="gramEnd"/>
      <w:r>
        <w:rPr>
          <w:rFonts w:cstheme="minorHAnsi"/>
          <w:sz w:val="24"/>
          <w:szCs w:val="24"/>
        </w:rPr>
        <w:t xml:space="preserve"> changes in the National Local Growth Assurance Framework which are expected to be </w:t>
      </w:r>
      <w:r w:rsidR="004B2A4D">
        <w:rPr>
          <w:rFonts w:cstheme="minorHAnsi"/>
          <w:sz w:val="24"/>
          <w:szCs w:val="24"/>
        </w:rPr>
        <w:t>reflected</w:t>
      </w:r>
      <w:r>
        <w:rPr>
          <w:rFonts w:cstheme="minorHAnsi"/>
          <w:sz w:val="24"/>
          <w:szCs w:val="24"/>
        </w:rPr>
        <w:t xml:space="preserve"> in the LEPs LAF.  None of these </w:t>
      </w:r>
      <w:proofErr w:type="gramStart"/>
      <w:r>
        <w:rPr>
          <w:rFonts w:cstheme="minorHAnsi"/>
          <w:sz w:val="24"/>
          <w:szCs w:val="24"/>
        </w:rPr>
        <w:t>are considered to be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4B2A4D">
        <w:rPr>
          <w:rFonts w:cstheme="minorHAnsi"/>
          <w:sz w:val="24"/>
          <w:szCs w:val="24"/>
        </w:rPr>
        <w:t xml:space="preserve">onerous </w:t>
      </w:r>
      <w:r w:rsidR="00BD5919">
        <w:rPr>
          <w:rFonts w:cstheme="minorHAnsi"/>
          <w:sz w:val="24"/>
          <w:szCs w:val="24"/>
        </w:rPr>
        <w:t>as the LEP was already in a strong position in terms of governance.</w:t>
      </w:r>
    </w:p>
    <w:p w14:paraId="3CEEA70F" w14:textId="2A8BCBC8" w:rsidR="00B4292A" w:rsidRDefault="00B4292A" w:rsidP="002A1E3A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50158F9F" w14:textId="1BE3CE79" w:rsidR="00B4292A" w:rsidRDefault="00B4292A" w:rsidP="002A1E3A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main changes are:</w:t>
      </w:r>
    </w:p>
    <w:p w14:paraId="0D74CA62" w14:textId="5484BD95" w:rsidR="00B4292A" w:rsidRDefault="00B4292A" w:rsidP="002A1E3A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2AF6B236" w14:textId="2B100974" w:rsidR="00BC683C" w:rsidRDefault="00BD5919" w:rsidP="00464356">
      <w:pPr>
        <w:pStyle w:val="ListParagraph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Inclusion of</w:t>
      </w:r>
      <w:r w:rsidR="00464356">
        <w:rPr>
          <w:rFonts w:cstheme="minorHAnsi"/>
          <w:sz w:val="24"/>
          <w:szCs w:val="24"/>
        </w:rPr>
        <w:t xml:space="preserve"> text around succession planning o</w:t>
      </w:r>
      <w:r>
        <w:rPr>
          <w:rFonts w:cstheme="minorHAnsi"/>
          <w:sz w:val="24"/>
          <w:szCs w:val="24"/>
        </w:rPr>
        <w:t>f</w:t>
      </w:r>
      <w:r w:rsidR="00464356">
        <w:rPr>
          <w:rFonts w:cstheme="minorHAnsi"/>
          <w:sz w:val="24"/>
          <w:szCs w:val="24"/>
        </w:rPr>
        <w:t xml:space="preserve"> new chair and requirement to have a nominated deputy chair</w:t>
      </w:r>
      <w:r w:rsidR="007078BF">
        <w:rPr>
          <w:rFonts w:cstheme="minorHAnsi"/>
          <w:sz w:val="24"/>
          <w:szCs w:val="24"/>
        </w:rPr>
        <w:t>;</w:t>
      </w:r>
    </w:p>
    <w:p w14:paraId="44F2D1C8" w14:textId="2454B14C" w:rsidR="00464356" w:rsidRDefault="00464356" w:rsidP="00464356">
      <w:pPr>
        <w:pStyle w:val="ListParagraph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Updated memberships of the board and all the sub-committees</w:t>
      </w:r>
      <w:r w:rsidR="007078BF">
        <w:rPr>
          <w:rFonts w:cstheme="minorHAnsi"/>
          <w:sz w:val="24"/>
          <w:szCs w:val="24"/>
        </w:rPr>
        <w:t xml:space="preserve"> and requirement for the board to be two-thirds private sector members;</w:t>
      </w:r>
    </w:p>
    <w:p w14:paraId="50F351BC" w14:textId="784B9BB4" w:rsidR="007078BF" w:rsidRDefault="007078BF" w:rsidP="00464356">
      <w:pPr>
        <w:pStyle w:val="ListParagraph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Updated </w:t>
      </w:r>
      <w:r w:rsidR="00BD5919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oard TORS to say decision can b</w:t>
      </w:r>
      <w:r w:rsidR="00BD5919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made</w:t>
      </w:r>
      <w:r w:rsidR="00BD5919">
        <w:rPr>
          <w:rFonts w:cstheme="minorHAnsi"/>
          <w:sz w:val="24"/>
          <w:szCs w:val="24"/>
        </w:rPr>
        <w:t xml:space="preserve"> by</w:t>
      </w:r>
      <w:r>
        <w:rPr>
          <w:rFonts w:cstheme="minorHAnsi"/>
          <w:sz w:val="24"/>
          <w:szCs w:val="24"/>
        </w:rPr>
        <w:t xml:space="preserve"> exception outside of board meetings by correspondence</w:t>
      </w:r>
    </w:p>
    <w:p w14:paraId="5A7E4EE3" w14:textId="7FC202D3" w:rsidR="00464356" w:rsidRDefault="00464356" w:rsidP="00464356">
      <w:pPr>
        <w:pStyle w:val="ListParagraph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Added text around compliance with the General Data Protection Regulation</w:t>
      </w:r>
      <w:r w:rsidR="007078BF">
        <w:rPr>
          <w:rFonts w:cstheme="minorHAnsi"/>
          <w:sz w:val="24"/>
          <w:szCs w:val="24"/>
        </w:rPr>
        <w:t>;</w:t>
      </w:r>
    </w:p>
    <w:p w14:paraId="04C24768" w14:textId="602288E0" w:rsidR="007078BF" w:rsidRDefault="007078BF" w:rsidP="00464356">
      <w:pPr>
        <w:pStyle w:val="ListParagraph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Confirmation that the LEP will confirm with government branding guidelines;</w:t>
      </w:r>
    </w:p>
    <w:p w14:paraId="27E9D22B" w14:textId="1F101003" w:rsidR="007078BF" w:rsidRDefault="007078BF" w:rsidP="00464356">
      <w:pPr>
        <w:pStyle w:val="ListParagraph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Added text about process for clawback of non-compliant funding</w:t>
      </w:r>
    </w:p>
    <w:p w14:paraId="2FA4B77C" w14:textId="5663DA6A" w:rsidR="00010338" w:rsidRDefault="00A64772" w:rsidP="00A64772">
      <w:pPr>
        <w:pStyle w:val="ListParagraph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Added details about CIPFA and the </w:t>
      </w:r>
      <w:r w:rsidRPr="00A64772">
        <w:rPr>
          <w:rFonts w:cstheme="minorHAnsi"/>
          <w:sz w:val="24"/>
          <w:szCs w:val="24"/>
        </w:rPr>
        <w:t xml:space="preserve">Cities and Local Growth Unit five principles which they expect the section 151 officer role for LEPs to meet when instilling good and proportionate </w:t>
      </w:r>
    </w:p>
    <w:p w14:paraId="4FBEF0F8" w14:textId="77777777" w:rsidR="00A64772" w:rsidRDefault="00A64772" w:rsidP="00A64772">
      <w:pPr>
        <w:pStyle w:val="ListParagraph"/>
        <w:jc w:val="both"/>
        <w:rPr>
          <w:rFonts w:cstheme="minorHAnsi"/>
          <w:sz w:val="24"/>
          <w:szCs w:val="24"/>
        </w:rPr>
      </w:pPr>
    </w:p>
    <w:p w14:paraId="0D723448" w14:textId="1FB83D7E" w:rsidR="00413D97" w:rsidRDefault="004B2A4D" w:rsidP="008C6B03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Outstanding and t</w:t>
      </w:r>
      <w:r w:rsidR="00332D85">
        <w:rPr>
          <w:rFonts w:cstheme="minorHAnsi"/>
          <w:sz w:val="24"/>
          <w:szCs w:val="24"/>
        </w:rPr>
        <w:t>o be completed</w:t>
      </w:r>
    </w:p>
    <w:p w14:paraId="61C79708" w14:textId="40F9E6C5" w:rsidR="00332D85" w:rsidRDefault="00332D85" w:rsidP="002A1E3A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4E16FDBD" w14:textId="44B82646" w:rsidR="00332D85" w:rsidRDefault="00332D85" w:rsidP="002A1E3A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following are the outstanding actions which need to be completed to finish the update:</w:t>
      </w:r>
    </w:p>
    <w:p w14:paraId="0767E903" w14:textId="688ADB8B" w:rsidR="00332D85" w:rsidRDefault="00332D85" w:rsidP="007078BF">
      <w:pPr>
        <w:pStyle w:val="ListParagraph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 a Communications strategy</w:t>
      </w:r>
      <w:r w:rsidR="00A64772">
        <w:rPr>
          <w:rFonts w:cstheme="minorHAnsi"/>
          <w:sz w:val="24"/>
          <w:szCs w:val="24"/>
        </w:rPr>
        <w:t xml:space="preserve"> or equivalent </w:t>
      </w:r>
      <w:bookmarkStart w:id="1" w:name="_GoBack"/>
      <w:bookmarkEnd w:id="1"/>
    </w:p>
    <w:p w14:paraId="64575325" w14:textId="210B23A3" w:rsidR="00727889" w:rsidRDefault="00727889" w:rsidP="007078BF">
      <w:pPr>
        <w:pStyle w:val="ListParagraph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 the membership of the new </w:t>
      </w:r>
      <w:r w:rsidR="00BD5919">
        <w:rPr>
          <w:rFonts w:cstheme="minorHAnsi"/>
          <w:sz w:val="24"/>
          <w:szCs w:val="24"/>
        </w:rPr>
        <w:t xml:space="preserve">Boards such as the </w:t>
      </w:r>
      <w:r>
        <w:rPr>
          <w:rFonts w:cstheme="minorHAnsi"/>
          <w:sz w:val="24"/>
          <w:szCs w:val="24"/>
        </w:rPr>
        <w:t>Business Growth Board.</w:t>
      </w:r>
    </w:p>
    <w:p w14:paraId="47E51AA3" w14:textId="5A2C6ED3" w:rsidR="008C6B03" w:rsidRPr="008C6B03" w:rsidRDefault="008C6B03" w:rsidP="008C6B03">
      <w:pPr>
        <w:pStyle w:val="ListParagraph"/>
        <w:ind w:left="1080"/>
        <w:jc w:val="both"/>
        <w:rPr>
          <w:rFonts w:cstheme="minorHAnsi"/>
          <w:b/>
          <w:sz w:val="24"/>
          <w:szCs w:val="24"/>
        </w:rPr>
      </w:pPr>
    </w:p>
    <w:p w14:paraId="75A47A7A" w14:textId="70A7AC6A" w:rsidR="008C6B03" w:rsidRPr="008C6B03" w:rsidRDefault="008C6B03" w:rsidP="008C6B03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8C6B03">
        <w:rPr>
          <w:rFonts w:cstheme="minorHAnsi"/>
          <w:b/>
          <w:sz w:val="24"/>
          <w:szCs w:val="24"/>
        </w:rPr>
        <w:t>Recommendation</w:t>
      </w:r>
    </w:p>
    <w:p w14:paraId="5861E674" w14:textId="35F235F2" w:rsidR="008C6B03" w:rsidRPr="008C6B03" w:rsidRDefault="008C6B03" w:rsidP="008C6B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approve the updated Local Assurance Framework.</w:t>
      </w:r>
    </w:p>
    <w:p w14:paraId="2214AB9F" w14:textId="47224A74" w:rsidR="008C6B03" w:rsidRDefault="008C6B03" w:rsidP="008C6B03">
      <w:pPr>
        <w:jc w:val="both"/>
        <w:rPr>
          <w:rFonts w:cstheme="minorHAnsi"/>
          <w:sz w:val="24"/>
          <w:szCs w:val="24"/>
        </w:rPr>
      </w:pPr>
    </w:p>
    <w:p w14:paraId="098F191D" w14:textId="23C198F7" w:rsidR="008C6B03" w:rsidRPr="004B2A4D" w:rsidRDefault="008C6B03" w:rsidP="008C6B03">
      <w:pPr>
        <w:jc w:val="both"/>
        <w:rPr>
          <w:rFonts w:cstheme="minorHAnsi"/>
          <w:b/>
          <w:sz w:val="24"/>
          <w:szCs w:val="24"/>
        </w:rPr>
      </w:pPr>
      <w:r w:rsidRPr="004B2A4D">
        <w:rPr>
          <w:rFonts w:cstheme="minorHAnsi"/>
          <w:b/>
          <w:sz w:val="24"/>
          <w:szCs w:val="24"/>
        </w:rPr>
        <w:t>Appendices</w:t>
      </w:r>
    </w:p>
    <w:p w14:paraId="21D69082" w14:textId="14140C0A" w:rsidR="008C6B03" w:rsidRPr="008C6B03" w:rsidRDefault="008C6B03" w:rsidP="008C6B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Updated Local Assurance framework</w:t>
      </w:r>
      <w:r w:rsidR="004B2A4D">
        <w:rPr>
          <w:rFonts w:cstheme="minorHAnsi"/>
          <w:sz w:val="24"/>
          <w:szCs w:val="24"/>
        </w:rPr>
        <w:t xml:space="preserve"> (updated sections highlighted in yellow)</w:t>
      </w:r>
    </w:p>
    <w:p w14:paraId="74616001" w14:textId="437AC189" w:rsidR="00332D85" w:rsidRDefault="00332D85" w:rsidP="002A1E3A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7B376C3F" w14:textId="77777777" w:rsidR="002A1E3A" w:rsidRPr="00727889" w:rsidRDefault="002A1E3A" w:rsidP="00727889">
      <w:pPr>
        <w:jc w:val="both"/>
        <w:rPr>
          <w:rFonts w:cstheme="minorHAnsi"/>
          <w:b/>
          <w:sz w:val="24"/>
          <w:szCs w:val="24"/>
        </w:rPr>
      </w:pPr>
    </w:p>
    <w:sectPr w:rsidR="002A1E3A" w:rsidRPr="00727889" w:rsidSect="002A1E3A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93797" w14:textId="77777777" w:rsidR="00EC3AED" w:rsidRDefault="00EC3AED" w:rsidP="00F12DC8">
      <w:pPr>
        <w:spacing w:after="0" w:line="240" w:lineRule="auto"/>
      </w:pPr>
      <w:r>
        <w:separator/>
      </w:r>
    </w:p>
  </w:endnote>
  <w:endnote w:type="continuationSeparator" w:id="0">
    <w:p w14:paraId="69B2D6DF" w14:textId="77777777" w:rsidR="00EC3AED" w:rsidRDefault="00EC3AED" w:rsidP="00F1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E3C9E" w14:textId="77777777" w:rsidR="00EC3AED" w:rsidRDefault="00EC3AED" w:rsidP="00F12DC8">
      <w:pPr>
        <w:spacing w:after="0" w:line="240" w:lineRule="auto"/>
      </w:pPr>
      <w:r>
        <w:separator/>
      </w:r>
    </w:p>
  </w:footnote>
  <w:footnote w:type="continuationSeparator" w:id="0">
    <w:p w14:paraId="1C1B7907" w14:textId="77777777" w:rsidR="00EC3AED" w:rsidRDefault="00EC3AED" w:rsidP="00F1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11823B"/>
    <w:multiLevelType w:val="hybridMultilevel"/>
    <w:tmpl w:val="5D91292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674" w:hanging="567"/>
      </w:pPr>
      <w:rPr>
        <w:rFonts w:ascii="Arial" w:hAnsi="Arial" w:cs="Arial"/>
        <w:b w:val="0"/>
        <w:bCs w:val="0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600" w:hanging="567"/>
      </w:pPr>
    </w:lvl>
    <w:lvl w:ilvl="2">
      <w:numFmt w:val="bullet"/>
      <w:lvlText w:val="•"/>
      <w:lvlJc w:val="left"/>
      <w:pPr>
        <w:ind w:left="2521" w:hanging="567"/>
      </w:pPr>
    </w:lvl>
    <w:lvl w:ilvl="3">
      <w:numFmt w:val="bullet"/>
      <w:lvlText w:val="•"/>
      <w:lvlJc w:val="left"/>
      <w:pPr>
        <w:ind w:left="3442" w:hanging="567"/>
      </w:pPr>
    </w:lvl>
    <w:lvl w:ilvl="4">
      <w:numFmt w:val="bullet"/>
      <w:lvlText w:val="•"/>
      <w:lvlJc w:val="left"/>
      <w:pPr>
        <w:ind w:left="4363" w:hanging="567"/>
      </w:pPr>
    </w:lvl>
    <w:lvl w:ilvl="5">
      <w:numFmt w:val="bullet"/>
      <w:lvlText w:val="•"/>
      <w:lvlJc w:val="left"/>
      <w:pPr>
        <w:ind w:left="5284" w:hanging="567"/>
      </w:pPr>
    </w:lvl>
    <w:lvl w:ilvl="6">
      <w:numFmt w:val="bullet"/>
      <w:lvlText w:val="•"/>
      <w:lvlJc w:val="left"/>
      <w:pPr>
        <w:ind w:left="6205" w:hanging="567"/>
      </w:pPr>
    </w:lvl>
    <w:lvl w:ilvl="7">
      <w:numFmt w:val="bullet"/>
      <w:lvlText w:val="•"/>
      <w:lvlJc w:val="left"/>
      <w:pPr>
        <w:ind w:left="7126" w:hanging="567"/>
      </w:pPr>
    </w:lvl>
    <w:lvl w:ilvl="8">
      <w:numFmt w:val="bullet"/>
      <w:lvlText w:val="•"/>
      <w:lvlJc w:val="left"/>
      <w:pPr>
        <w:ind w:left="8047" w:hanging="567"/>
      </w:pPr>
    </w:lvl>
  </w:abstractNum>
  <w:abstractNum w:abstractNumId="2" w15:restartNumberingAfterBreak="0">
    <w:nsid w:val="08026E4B"/>
    <w:multiLevelType w:val="hybridMultilevel"/>
    <w:tmpl w:val="0C66FE9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635BD"/>
    <w:multiLevelType w:val="multilevel"/>
    <w:tmpl w:val="D2B04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835BF"/>
    <w:multiLevelType w:val="hybridMultilevel"/>
    <w:tmpl w:val="3866012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9697B20"/>
    <w:multiLevelType w:val="hybridMultilevel"/>
    <w:tmpl w:val="858E2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C75B1B"/>
    <w:multiLevelType w:val="hybridMultilevel"/>
    <w:tmpl w:val="B6DEE1BE"/>
    <w:lvl w:ilvl="0" w:tplc="F2207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E2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6E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2F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4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07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66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8A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4F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E83006"/>
    <w:multiLevelType w:val="hybridMultilevel"/>
    <w:tmpl w:val="0F8496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93651"/>
    <w:multiLevelType w:val="hybridMultilevel"/>
    <w:tmpl w:val="03F880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096E"/>
    <w:multiLevelType w:val="multilevel"/>
    <w:tmpl w:val="DEAA9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3A2681"/>
    <w:multiLevelType w:val="hybridMultilevel"/>
    <w:tmpl w:val="BA4450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44544"/>
    <w:multiLevelType w:val="hybridMultilevel"/>
    <w:tmpl w:val="FF7E4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5A00"/>
    <w:multiLevelType w:val="hybridMultilevel"/>
    <w:tmpl w:val="0738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7EB7"/>
    <w:multiLevelType w:val="multilevel"/>
    <w:tmpl w:val="E328F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154B5"/>
    <w:multiLevelType w:val="hybridMultilevel"/>
    <w:tmpl w:val="F2AA03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80A63"/>
    <w:multiLevelType w:val="hybridMultilevel"/>
    <w:tmpl w:val="62B4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33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900DE6"/>
    <w:multiLevelType w:val="hybridMultilevel"/>
    <w:tmpl w:val="DD3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1EFD"/>
    <w:multiLevelType w:val="hybridMultilevel"/>
    <w:tmpl w:val="2DE06D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3210CA"/>
    <w:multiLevelType w:val="hybridMultilevel"/>
    <w:tmpl w:val="6DACBBEC"/>
    <w:lvl w:ilvl="0" w:tplc="06B80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A3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C3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0FA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03A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000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8FF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4B7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22C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3570B9"/>
    <w:multiLevelType w:val="multilevel"/>
    <w:tmpl w:val="2E0E4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19251A"/>
    <w:multiLevelType w:val="multilevel"/>
    <w:tmpl w:val="2E0E4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D467DA"/>
    <w:multiLevelType w:val="hybridMultilevel"/>
    <w:tmpl w:val="DF4C053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8C66B69"/>
    <w:multiLevelType w:val="hybridMultilevel"/>
    <w:tmpl w:val="BA62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775BC"/>
    <w:multiLevelType w:val="hybridMultilevel"/>
    <w:tmpl w:val="DB2EF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050DC"/>
    <w:multiLevelType w:val="hybridMultilevel"/>
    <w:tmpl w:val="BF860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50978"/>
    <w:multiLevelType w:val="hybridMultilevel"/>
    <w:tmpl w:val="EF1A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D0D02"/>
    <w:multiLevelType w:val="multilevel"/>
    <w:tmpl w:val="D2B04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2D7FA3"/>
    <w:multiLevelType w:val="multilevel"/>
    <w:tmpl w:val="E328F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112107"/>
    <w:multiLevelType w:val="hybridMultilevel"/>
    <w:tmpl w:val="9DB25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227A0"/>
    <w:multiLevelType w:val="hybridMultilevel"/>
    <w:tmpl w:val="9F7E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A258C"/>
    <w:multiLevelType w:val="hybridMultilevel"/>
    <w:tmpl w:val="5B0C3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D66E2E"/>
    <w:multiLevelType w:val="hybridMultilevel"/>
    <w:tmpl w:val="23EEBDD6"/>
    <w:lvl w:ilvl="0" w:tplc="6B8EB626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D30557"/>
    <w:multiLevelType w:val="multilevel"/>
    <w:tmpl w:val="54DA865C"/>
    <w:lvl w:ilvl="0">
      <w:start w:val="4"/>
      <w:numFmt w:val="decimal"/>
      <w:lvlText w:val="%1.0"/>
      <w:lvlJc w:val="left"/>
      <w:pPr>
        <w:ind w:left="540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39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2" w:hanging="1440"/>
      </w:pPr>
      <w:rPr>
        <w:rFonts w:hint="default"/>
      </w:rPr>
    </w:lvl>
  </w:abstractNum>
  <w:abstractNum w:abstractNumId="34" w15:restartNumberingAfterBreak="0">
    <w:nsid w:val="76503416"/>
    <w:multiLevelType w:val="hybridMultilevel"/>
    <w:tmpl w:val="DE64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F4494E"/>
    <w:multiLevelType w:val="hybridMultilevel"/>
    <w:tmpl w:val="D92629F6"/>
    <w:lvl w:ilvl="0" w:tplc="4EF4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2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AA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C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0F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44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4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AE7F59"/>
    <w:multiLevelType w:val="hybridMultilevel"/>
    <w:tmpl w:val="9830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32"/>
  </w:num>
  <w:num w:numId="6">
    <w:abstractNumId w:val="9"/>
  </w:num>
  <w:num w:numId="7">
    <w:abstractNumId w:val="24"/>
  </w:num>
  <w:num w:numId="8">
    <w:abstractNumId w:val="5"/>
  </w:num>
  <w:num w:numId="9">
    <w:abstractNumId w:val="26"/>
  </w:num>
  <w:num w:numId="10">
    <w:abstractNumId w:val="34"/>
  </w:num>
  <w:num w:numId="11">
    <w:abstractNumId w:val="33"/>
  </w:num>
  <w:num w:numId="12">
    <w:abstractNumId w:val="16"/>
  </w:num>
  <w:num w:numId="13">
    <w:abstractNumId w:val="8"/>
  </w:num>
  <w:num w:numId="14">
    <w:abstractNumId w:val="14"/>
  </w:num>
  <w:num w:numId="15">
    <w:abstractNumId w:val="10"/>
  </w:num>
  <w:num w:numId="16">
    <w:abstractNumId w:val="13"/>
  </w:num>
  <w:num w:numId="17">
    <w:abstractNumId w:val="4"/>
  </w:num>
  <w:num w:numId="18">
    <w:abstractNumId w:val="22"/>
  </w:num>
  <w:num w:numId="19">
    <w:abstractNumId w:val="23"/>
  </w:num>
  <w:num w:numId="20">
    <w:abstractNumId w:val="28"/>
  </w:num>
  <w:num w:numId="21">
    <w:abstractNumId w:val="27"/>
  </w:num>
  <w:num w:numId="22">
    <w:abstractNumId w:val="25"/>
  </w:num>
  <w:num w:numId="23">
    <w:abstractNumId w:val="12"/>
  </w:num>
  <w:num w:numId="24">
    <w:abstractNumId w:val="36"/>
  </w:num>
  <w:num w:numId="25">
    <w:abstractNumId w:val="2"/>
  </w:num>
  <w:num w:numId="26">
    <w:abstractNumId w:val="6"/>
  </w:num>
  <w:num w:numId="27">
    <w:abstractNumId w:val="35"/>
  </w:num>
  <w:num w:numId="28">
    <w:abstractNumId w:val="19"/>
  </w:num>
  <w:num w:numId="29">
    <w:abstractNumId w:val="29"/>
  </w:num>
  <w:num w:numId="30">
    <w:abstractNumId w:val="15"/>
  </w:num>
  <w:num w:numId="31">
    <w:abstractNumId w:val="3"/>
  </w:num>
  <w:num w:numId="32">
    <w:abstractNumId w:val="11"/>
  </w:num>
  <w:num w:numId="33">
    <w:abstractNumId w:val="17"/>
  </w:num>
  <w:num w:numId="34">
    <w:abstractNumId w:val="31"/>
  </w:num>
  <w:num w:numId="35">
    <w:abstractNumId w:val="1"/>
  </w:num>
  <w:num w:numId="36">
    <w:abstractNumId w:val="30"/>
  </w:num>
  <w:num w:numId="37">
    <w:abstractNumId w:val="18"/>
  </w:num>
  <w:num w:numId="38">
    <w:abstractNumId w:val="7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D5"/>
    <w:rsid w:val="000022C5"/>
    <w:rsid w:val="00010338"/>
    <w:rsid w:val="000263DE"/>
    <w:rsid w:val="000266B5"/>
    <w:rsid w:val="00037FD9"/>
    <w:rsid w:val="00050FE5"/>
    <w:rsid w:val="000638D0"/>
    <w:rsid w:val="00065AF3"/>
    <w:rsid w:val="00065B99"/>
    <w:rsid w:val="00067B9C"/>
    <w:rsid w:val="00075529"/>
    <w:rsid w:val="00081728"/>
    <w:rsid w:val="0009045F"/>
    <w:rsid w:val="000A3288"/>
    <w:rsid w:val="000A3487"/>
    <w:rsid w:val="000A3C40"/>
    <w:rsid w:val="000A591A"/>
    <w:rsid w:val="000B1448"/>
    <w:rsid w:val="000B20A4"/>
    <w:rsid w:val="000B372C"/>
    <w:rsid w:val="000B58EB"/>
    <w:rsid w:val="000C213B"/>
    <w:rsid w:val="000D0C22"/>
    <w:rsid w:val="000D127D"/>
    <w:rsid w:val="000D65C2"/>
    <w:rsid w:val="000D6A16"/>
    <w:rsid w:val="000F007B"/>
    <w:rsid w:val="000F244A"/>
    <w:rsid w:val="000F5018"/>
    <w:rsid w:val="00100DF7"/>
    <w:rsid w:val="00101875"/>
    <w:rsid w:val="0010432E"/>
    <w:rsid w:val="00106820"/>
    <w:rsid w:val="001073DE"/>
    <w:rsid w:val="00107454"/>
    <w:rsid w:val="00110964"/>
    <w:rsid w:val="001135DD"/>
    <w:rsid w:val="0011579C"/>
    <w:rsid w:val="0012478D"/>
    <w:rsid w:val="001249FF"/>
    <w:rsid w:val="0013097D"/>
    <w:rsid w:val="00131233"/>
    <w:rsid w:val="00133DBF"/>
    <w:rsid w:val="00134A29"/>
    <w:rsid w:val="001503BA"/>
    <w:rsid w:val="00153C0D"/>
    <w:rsid w:val="00156053"/>
    <w:rsid w:val="00164871"/>
    <w:rsid w:val="00164C40"/>
    <w:rsid w:val="00166FDF"/>
    <w:rsid w:val="00171EEB"/>
    <w:rsid w:val="0017216F"/>
    <w:rsid w:val="00174781"/>
    <w:rsid w:val="00175C3D"/>
    <w:rsid w:val="00180295"/>
    <w:rsid w:val="00182A58"/>
    <w:rsid w:val="0018337E"/>
    <w:rsid w:val="00194937"/>
    <w:rsid w:val="00197A07"/>
    <w:rsid w:val="001A5188"/>
    <w:rsid w:val="001C6876"/>
    <w:rsid w:val="001D33D0"/>
    <w:rsid w:val="001D4EFC"/>
    <w:rsid w:val="001E314B"/>
    <w:rsid w:val="001F68EC"/>
    <w:rsid w:val="001F6C47"/>
    <w:rsid w:val="001F6D06"/>
    <w:rsid w:val="001F72C7"/>
    <w:rsid w:val="002000AF"/>
    <w:rsid w:val="002014C7"/>
    <w:rsid w:val="00203E3D"/>
    <w:rsid w:val="00207415"/>
    <w:rsid w:val="0021156E"/>
    <w:rsid w:val="0022118F"/>
    <w:rsid w:val="00230130"/>
    <w:rsid w:val="00233FFD"/>
    <w:rsid w:val="00272590"/>
    <w:rsid w:val="002749E3"/>
    <w:rsid w:val="00275846"/>
    <w:rsid w:val="00280BC7"/>
    <w:rsid w:val="0028207A"/>
    <w:rsid w:val="002827D5"/>
    <w:rsid w:val="0028453C"/>
    <w:rsid w:val="002858D3"/>
    <w:rsid w:val="002968E3"/>
    <w:rsid w:val="00297C44"/>
    <w:rsid w:val="002A0748"/>
    <w:rsid w:val="002A1CDB"/>
    <w:rsid w:val="002A1E3A"/>
    <w:rsid w:val="002A3125"/>
    <w:rsid w:val="002A37BA"/>
    <w:rsid w:val="002A6295"/>
    <w:rsid w:val="002B2D87"/>
    <w:rsid w:val="002B33FD"/>
    <w:rsid w:val="002B6D08"/>
    <w:rsid w:val="002D7B22"/>
    <w:rsid w:val="002E6996"/>
    <w:rsid w:val="002E6D12"/>
    <w:rsid w:val="002F2E4C"/>
    <w:rsid w:val="003016E2"/>
    <w:rsid w:val="00312569"/>
    <w:rsid w:val="00313712"/>
    <w:rsid w:val="00317F28"/>
    <w:rsid w:val="003207C2"/>
    <w:rsid w:val="00321120"/>
    <w:rsid w:val="00325684"/>
    <w:rsid w:val="00332D85"/>
    <w:rsid w:val="00345591"/>
    <w:rsid w:val="0035219B"/>
    <w:rsid w:val="003529E4"/>
    <w:rsid w:val="003546BF"/>
    <w:rsid w:val="00365EBA"/>
    <w:rsid w:val="00370CB5"/>
    <w:rsid w:val="00372A6B"/>
    <w:rsid w:val="003734A7"/>
    <w:rsid w:val="00383BE6"/>
    <w:rsid w:val="00384766"/>
    <w:rsid w:val="0038512E"/>
    <w:rsid w:val="00387F94"/>
    <w:rsid w:val="00390E79"/>
    <w:rsid w:val="0039723C"/>
    <w:rsid w:val="003A33E9"/>
    <w:rsid w:val="003C21D4"/>
    <w:rsid w:val="003C370B"/>
    <w:rsid w:val="003C5FD7"/>
    <w:rsid w:val="003D70CA"/>
    <w:rsid w:val="003E2049"/>
    <w:rsid w:val="003F31B1"/>
    <w:rsid w:val="003F5A35"/>
    <w:rsid w:val="003F7CE2"/>
    <w:rsid w:val="003F7D1C"/>
    <w:rsid w:val="00401EA9"/>
    <w:rsid w:val="004047F2"/>
    <w:rsid w:val="00405299"/>
    <w:rsid w:val="004120EC"/>
    <w:rsid w:val="00413D97"/>
    <w:rsid w:val="00424667"/>
    <w:rsid w:val="004343FE"/>
    <w:rsid w:val="00435F3D"/>
    <w:rsid w:val="00436539"/>
    <w:rsid w:val="00440186"/>
    <w:rsid w:val="0044170F"/>
    <w:rsid w:val="00456051"/>
    <w:rsid w:val="00456DB9"/>
    <w:rsid w:val="0046416C"/>
    <w:rsid w:val="00464356"/>
    <w:rsid w:val="00471C31"/>
    <w:rsid w:val="004730C1"/>
    <w:rsid w:val="00476AA3"/>
    <w:rsid w:val="00491D5F"/>
    <w:rsid w:val="004959DE"/>
    <w:rsid w:val="004A1C27"/>
    <w:rsid w:val="004B2A4D"/>
    <w:rsid w:val="004B451B"/>
    <w:rsid w:val="004C0AF3"/>
    <w:rsid w:val="004C6848"/>
    <w:rsid w:val="004D552D"/>
    <w:rsid w:val="004D6446"/>
    <w:rsid w:val="004E1E36"/>
    <w:rsid w:val="004E200C"/>
    <w:rsid w:val="004E74C4"/>
    <w:rsid w:val="004F0E9A"/>
    <w:rsid w:val="004F5C5F"/>
    <w:rsid w:val="0050162D"/>
    <w:rsid w:val="005033D7"/>
    <w:rsid w:val="00506A76"/>
    <w:rsid w:val="00514653"/>
    <w:rsid w:val="00516DCA"/>
    <w:rsid w:val="005231C5"/>
    <w:rsid w:val="00523DF4"/>
    <w:rsid w:val="005250B5"/>
    <w:rsid w:val="00526408"/>
    <w:rsid w:val="005268C0"/>
    <w:rsid w:val="00530F48"/>
    <w:rsid w:val="005317DC"/>
    <w:rsid w:val="00533B27"/>
    <w:rsid w:val="005378BC"/>
    <w:rsid w:val="005406F1"/>
    <w:rsid w:val="00540DDD"/>
    <w:rsid w:val="00542243"/>
    <w:rsid w:val="005430FC"/>
    <w:rsid w:val="005455AF"/>
    <w:rsid w:val="005535CE"/>
    <w:rsid w:val="00567027"/>
    <w:rsid w:val="005734E5"/>
    <w:rsid w:val="005919CE"/>
    <w:rsid w:val="00596CF3"/>
    <w:rsid w:val="005C1654"/>
    <w:rsid w:val="005C70ED"/>
    <w:rsid w:val="005D16FA"/>
    <w:rsid w:val="005D183A"/>
    <w:rsid w:val="005E1575"/>
    <w:rsid w:val="005F3960"/>
    <w:rsid w:val="00604E25"/>
    <w:rsid w:val="006071CF"/>
    <w:rsid w:val="006134D1"/>
    <w:rsid w:val="00615AA9"/>
    <w:rsid w:val="00615AF8"/>
    <w:rsid w:val="00621B2C"/>
    <w:rsid w:val="006227E3"/>
    <w:rsid w:val="006236AC"/>
    <w:rsid w:val="00624610"/>
    <w:rsid w:val="00634B4A"/>
    <w:rsid w:val="00637760"/>
    <w:rsid w:val="0064098A"/>
    <w:rsid w:val="00642D59"/>
    <w:rsid w:val="0064301A"/>
    <w:rsid w:val="00645DD1"/>
    <w:rsid w:val="006473C1"/>
    <w:rsid w:val="006506EA"/>
    <w:rsid w:val="006623FF"/>
    <w:rsid w:val="00667D59"/>
    <w:rsid w:val="00675E60"/>
    <w:rsid w:val="0068451D"/>
    <w:rsid w:val="006863AD"/>
    <w:rsid w:val="00693497"/>
    <w:rsid w:val="00693514"/>
    <w:rsid w:val="00693983"/>
    <w:rsid w:val="00693992"/>
    <w:rsid w:val="006961C1"/>
    <w:rsid w:val="006A1083"/>
    <w:rsid w:val="006A5018"/>
    <w:rsid w:val="006B2A3B"/>
    <w:rsid w:val="006B40C1"/>
    <w:rsid w:val="006B7963"/>
    <w:rsid w:val="006C259A"/>
    <w:rsid w:val="006C2E9E"/>
    <w:rsid w:val="006D4ED8"/>
    <w:rsid w:val="006E13AE"/>
    <w:rsid w:val="006E4166"/>
    <w:rsid w:val="006E59EB"/>
    <w:rsid w:val="006F67E3"/>
    <w:rsid w:val="00705C79"/>
    <w:rsid w:val="007078BF"/>
    <w:rsid w:val="00711A5B"/>
    <w:rsid w:val="00720749"/>
    <w:rsid w:val="00720AD4"/>
    <w:rsid w:val="00725129"/>
    <w:rsid w:val="00726781"/>
    <w:rsid w:val="00726CB8"/>
    <w:rsid w:val="0072702D"/>
    <w:rsid w:val="00727889"/>
    <w:rsid w:val="00732811"/>
    <w:rsid w:val="00736B78"/>
    <w:rsid w:val="007424BB"/>
    <w:rsid w:val="00745D10"/>
    <w:rsid w:val="007542E9"/>
    <w:rsid w:val="00757487"/>
    <w:rsid w:val="00757972"/>
    <w:rsid w:val="00767293"/>
    <w:rsid w:val="00773A69"/>
    <w:rsid w:val="007801EE"/>
    <w:rsid w:val="00783492"/>
    <w:rsid w:val="00792689"/>
    <w:rsid w:val="00795022"/>
    <w:rsid w:val="007A37C9"/>
    <w:rsid w:val="007A52B5"/>
    <w:rsid w:val="007B586A"/>
    <w:rsid w:val="007B7F30"/>
    <w:rsid w:val="007C08D9"/>
    <w:rsid w:val="007C1716"/>
    <w:rsid w:val="007C60CE"/>
    <w:rsid w:val="007C6C29"/>
    <w:rsid w:val="007C6F0A"/>
    <w:rsid w:val="007D3296"/>
    <w:rsid w:val="007E6F25"/>
    <w:rsid w:val="007E769F"/>
    <w:rsid w:val="007F1662"/>
    <w:rsid w:val="007F3497"/>
    <w:rsid w:val="007F7978"/>
    <w:rsid w:val="00801FF5"/>
    <w:rsid w:val="00805420"/>
    <w:rsid w:val="008121AA"/>
    <w:rsid w:val="00812F24"/>
    <w:rsid w:val="0081577B"/>
    <w:rsid w:val="008158E9"/>
    <w:rsid w:val="008258BF"/>
    <w:rsid w:val="00826807"/>
    <w:rsid w:val="0083409C"/>
    <w:rsid w:val="00837F5D"/>
    <w:rsid w:val="008447F5"/>
    <w:rsid w:val="00853529"/>
    <w:rsid w:val="00862630"/>
    <w:rsid w:val="00864B01"/>
    <w:rsid w:val="00864FF0"/>
    <w:rsid w:val="00886988"/>
    <w:rsid w:val="00887350"/>
    <w:rsid w:val="00895057"/>
    <w:rsid w:val="008978AD"/>
    <w:rsid w:val="008A7EA2"/>
    <w:rsid w:val="008B2C3E"/>
    <w:rsid w:val="008C6B03"/>
    <w:rsid w:val="008C704F"/>
    <w:rsid w:val="008C7E19"/>
    <w:rsid w:val="008D2D4F"/>
    <w:rsid w:val="008E5AB6"/>
    <w:rsid w:val="008F1502"/>
    <w:rsid w:val="00904B01"/>
    <w:rsid w:val="00913AF5"/>
    <w:rsid w:val="0092386B"/>
    <w:rsid w:val="009337A3"/>
    <w:rsid w:val="00933DAA"/>
    <w:rsid w:val="00934D87"/>
    <w:rsid w:val="00934E2A"/>
    <w:rsid w:val="00935462"/>
    <w:rsid w:val="0094182B"/>
    <w:rsid w:val="00943664"/>
    <w:rsid w:val="00945890"/>
    <w:rsid w:val="00946B9D"/>
    <w:rsid w:val="00950F77"/>
    <w:rsid w:val="00962EFF"/>
    <w:rsid w:val="00963CCA"/>
    <w:rsid w:val="00971126"/>
    <w:rsid w:val="00972E16"/>
    <w:rsid w:val="00973D48"/>
    <w:rsid w:val="009744F1"/>
    <w:rsid w:val="009778E1"/>
    <w:rsid w:val="009809FA"/>
    <w:rsid w:val="00981129"/>
    <w:rsid w:val="00981243"/>
    <w:rsid w:val="00987423"/>
    <w:rsid w:val="00991929"/>
    <w:rsid w:val="00996C8C"/>
    <w:rsid w:val="009A7152"/>
    <w:rsid w:val="009B079E"/>
    <w:rsid w:val="009B357D"/>
    <w:rsid w:val="009C7E8A"/>
    <w:rsid w:val="009D59DA"/>
    <w:rsid w:val="009D6AFA"/>
    <w:rsid w:val="009E64E1"/>
    <w:rsid w:val="009F4A08"/>
    <w:rsid w:val="009F631B"/>
    <w:rsid w:val="00A010AC"/>
    <w:rsid w:val="00A03668"/>
    <w:rsid w:val="00A102D8"/>
    <w:rsid w:val="00A1338A"/>
    <w:rsid w:val="00A2296F"/>
    <w:rsid w:val="00A308B3"/>
    <w:rsid w:val="00A3190F"/>
    <w:rsid w:val="00A33346"/>
    <w:rsid w:val="00A364E8"/>
    <w:rsid w:val="00A5399E"/>
    <w:rsid w:val="00A64384"/>
    <w:rsid w:val="00A64772"/>
    <w:rsid w:val="00A731C7"/>
    <w:rsid w:val="00A761F7"/>
    <w:rsid w:val="00A90520"/>
    <w:rsid w:val="00A948DF"/>
    <w:rsid w:val="00A9633B"/>
    <w:rsid w:val="00A968AB"/>
    <w:rsid w:val="00AA1342"/>
    <w:rsid w:val="00AA4D87"/>
    <w:rsid w:val="00AA6852"/>
    <w:rsid w:val="00AA73D6"/>
    <w:rsid w:val="00AA7A33"/>
    <w:rsid w:val="00AB20F7"/>
    <w:rsid w:val="00AB3852"/>
    <w:rsid w:val="00AB56B2"/>
    <w:rsid w:val="00AC15F8"/>
    <w:rsid w:val="00AC3179"/>
    <w:rsid w:val="00AC3760"/>
    <w:rsid w:val="00AD5E2B"/>
    <w:rsid w:val="00AE5AE3"/>
    <w:rsid w:val="00AF79A9"/>
    <w:rsid w:val="00B06034"/>
    <w:rsid w:val="00B10DD1"/>
    <w:rsid w:val="00B1408E"/>
    <w:rsid w:val="00B153EC"/>
    <w:rsid w:val="00B15AB7"/>
    <w:rsid w:val="00B16202"/>
    <w:rsid w:val="00B20863"/>
    <w:rsid w:val="00B40A7F"/>
    <w:rsid w:val="00B4292A"/>
    <w:rsid w:val="00B54523"/>
    <w:rsid w:val="00B54EBE"/>
    <w:rsid w:val="00B556F7"/>
    <w:rsid w:val="00B64397"/>
    <w:rsid w:val="00B66A1A"/>
    <w:rsid w:val="00B70AEA"/>
    <w:rsid w:val="00B70D7A"/>
    <w:rsid w:val="00B71D59"/>
    <w:rsid w:val="00B73351"/>
    <w:rsid w:val="00B762D6"/>
    <w:rsid w:val="00B8218A"/>
    <w:rsid w:val="00B83F4B"/>
    <w:rsid w:val="00B87D84"/>
    <w:rsid w:val="00B91BDF"/>
    <w:rsid w:val="00B95DA5"/>
    <w:rsid w:val="00BB1A0A"/>
    <w:rsid w:val="00BB2714"/>
    <w:rsid w:val="00BB5B3C"/>
    <w:rsid w:val="00BB6F9D"/>
    <w:rsid w:val="00BB7BE0"/>
    <w:rsid w:val="00BC562B"/>
    <w:rsid w:val="00BC683C"/>
    <w:rsid w:val="00BD05C9"/>
    <w:rsid w:val="00BD52BD"/>
    <w:rsid w:val="00BD562D"/>
    <w:rsid w:val="00BD5919"/>
    <w:rsid w:val="00BE190B"/>
    <w:rsid w:val="00BE4890"/>
    <w:rsid w:val="00BF2E37"/>
    <w:rsid w:val="00BF4D20"/>
    <w:rsid w:val="00BF5044"/>
    <w:rsid w:val="00C02811"/>
    <w:rsid w:val="00C16CBC"/>
    <w:rsid w:val="00C25F11"/>
    <w:rsid w:val="00C334D1"/>
    <w:rsid w:val="00C36983"/>
    <w:rsid w:val="00C41EA5"/>
    <w:rsid w:val="00C45D59"/>
    <w:rsid w:val="00C65684"/>
    <w:rsid w:val="00C6647E"/>
    <w:rsid w:val="00C742C7"/>
    <w:rsid w:val="00C75040"/>
    <w:rsid w:val="00C77955"/>
    <w:rsid w:val="00C81BE0"/>
    <w:rsid w:val="00C93A90"/>
    <w:rsid w:val="00CA22FA"/>
    <w:rsid w:val="00CB4600"/>
    <w:rsid w:val="00CB48CD"/>
    <w:rsid w:val="00CC0604"/>
    <w:rsid w:val="00CC0ACC"/>
    <w:rsid w:val="00CD5261"/>
    <w:rsid w:val="00CD6DE2"/>
    <w:rsid w:val="00CE079D"/>
    <w:rsid w:val="00CE3366"/>
    <w:rsid w:val="00CE553F"/>
    <w:rsid w:val="00CE5970"/>
    <w:rsid w:val="00CF05D6"/>
    <w:rsid w:val="00CF12F1"/>
    <w:rsid w:val="00CF290B"/>
    <w:rsid w:val="00CF37BE"/>
    <w:rsid w:val="00CF3D9E"/>
    <w:rsid w:val="00D040EA"/>
    <w:rsid w:val="00D07FFE"/>
    <w:rsid w:val="00D103AA"/>
    <w:rsid w:val="00D11B1F"/>
    <w:rsid w:val="00D2073C"/>
    <w:rsid w:val="00D26E9F"/>
    <w:rsid w:val="00D3311D"/>
    <w:rsid w:val="00D34DE3"/>
    <w:rsid w:val="00D4393E"/>
    <w:rsid w:val="00D63FB4"/>
    <w:rsid w:val="00D7098F"/>
    <w:rsid w:val="00D7124C"/>
    <w:rsid w:val="00D715D7"/>
    <w:rsid w:val="00D72ACA"/>
    <w:rsid w:val="00D8301B"/>
    <w:rsid w:val="00D849D9"/>
    <w:rsid w:val="00D86E5E"/>
    <w:rsid w:val="00D932BB"/>
    <w:rsid w:val="00DA5D02"/>
    <w:rsid w:val="00DB38F5"/>
    <w:rsid w:val="00DB3E2A"/>
    <w:rsid w:val="00DB644D"/>
    <w:rsid w:val="00DC3081"/>
    <w:rsid w:val="00DC309B"/>
    <w:rsid w:val="00DC338D"/>
    <w:rsid w:val="00DC377F"/>
    <w:rsid w:val="00DC43E6"/>
    <w:rsid w:val="00DE35B2"/>
    <w:rsid w:val="00DE4A77"/>
    <w:rsid w:val="00DE51FD"/>
    <w:rsid w:val="00DE593D"/>
    <w:rsid w:val="00DE78DA"/>
    <w:rsid w:val="00DF5381"/>
    <w:rsid w:val="00DF5FC4"/>
    <w:rsid w:val="00DF602B"/>
    <w:rsid w:val="00DF69AB"/>
    <w:rsid w:val="00DF7FC8"/>
    <w:rsid w:val="00E020F6"/>
    <w:rsid w:val="00E05776"/>
    <w:rsid w:val="00E11AA1"/>
    <w:rsid w:val="00E1608E"/>
    <w:rsid w:val="00E167ED"/>
    <w:rsid w:val="00E200B7"/>
    <w:rsid w:val="00E250C4"/>
    <w:rsid w:val="00E314EB"/>
    <w:rsid w:val="00E32A42"/>
    <w:rsid w:val="00E34FB2"/>
    <w:rsid w:val="00E46FE9"/>
    <w:rsid w:val="00E478D6"/>
    <w:rsid w:val="00E55C8B"/>
    <w:rsid w:val="00E637F4"/>
    <w:rsid w:val="00E63E4D"/>
    <w:rsid w:val="00E72639"/>
    <w:rsid w:val="00E73693"/>
    <w:rsid w:val="00E772E7"/>
    <w:rsid w:val="00E81E0F"/>
    <w:rsid w:val="00E82F37"/>
    <w:rsid w:val="00E832E7"/>
    <w:rsid w:val="00E83457"/>
    <w:rsid w:val="00EA44E9"/>
    <w:rsid w:val="00EA7A60"/>
    <w:rsid w:val="00EB0AE6"/>
    <w:rsid w:val="00EB0B96"/>
    <w:rsid w:val="00EB368E"/>
    <w:rsid w:val="00EB4852"/>
    <w:rsid w:val="00EB67D8"/>
    <w:rsid w:val="00EC3AED"/>
    <w:rsid w:val="00ED7357"/>
    <w:rsid w:val="00EE6C02"/>
    <w:rsid w:val="00EF2F44"/>
    <w:rsid w:val="00EF316D"/>
    <w:rsid w:val="00F0599A"/>
    <w:rsid w:val="00F06273"/>
    <w:rsid w:val="00F12DC8"/>
    <w:rsid w:val="00F201A6"/>
    <w:rsid w:val="00F21FDF"/>
    <w:rsid w:val="00F229EF"/>
    <w:rsid w:val="00F268C2"/>
    <w:rsid w:val="00F27443"/>
    <w:rsid w:val="00F310A6"/>
    <w:rsid w:val="00F32C51"/>
    <w:rsid w:val="00F34310"/>
    <w:rsid w:val="00F347FB"/>
    <w:rsid w:val="00F35F46"/>
    <w:rsid w:val="00F40C08"/>
    <w:rsid w:val="00F427D6"/>
    <w:rsid w:val="00F45713"/>
    <w:rsid w:val="00F45999"/>
    <w:rsid w:val="00F52D5B"/>
    <w:rsid w:val="00F53C02"/>
    <w:rsid w:val="00F559CE"/>
    <w:rsid w:val="00F609EF"/>
    <w:rsid w:val="00F62F6C"/>
    <w:rsid w:val="00F706D5"/>
    <w:rsid w:val="00F70A2A"/>
    <w:rsid w:val="00F73375"/>
    <w:rsid w:val="00F74DDB"/>
    <w:rsid w:val="00F76B1C"/>
    <w:rsid w:val="00F91052"/>
    <w:rsid w:val="00FA2E79"/>
    <w:rsid w:val="00FA40BB"/>
    <w:rsid w:val="00FA4D3A"/>
    <w:rsid w:val="00FC04B0"/>
    <w:rsid w:val="00FC5BAD"/>
    <w:rsid w:val="00FD135A"/>
    <w:rsid w:val="00FD65A2"/>
    <w:rsid w:val="00FD7884"/>
    <w:rsid w:val="00FE212C"/>
    <w:rsid w:val="00FE213A"/>
    <w:rsid w:val="00FE6524"/>
    <w:rsid w:val="00FF22EF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59F3"/>
  <w15:docId w15:val="{A8E764D1-65A2-40AE-A249-3745008E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8112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BC5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87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C6876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4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065AF3"/>
    <w:pPr>
      <w:spacing w:after="0" w:line="240" w:lineRule="auto"/>
    </w:pPr>
    <w:rPr>
      <w:rFonts w:ascii="Calibri" w:hAnsi="Calibri" w:cs="Calibri"/>
    </w:rPr>
  </w:style>
  <w:style w:type="character" w:customStyle="1" w:styleId="spelle">
    <w:name w:val="spelle"/>
    <w:basedOn w:val="DefaultParagraphFont"/>
    <w:rsid w:val="00065AF3"/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345591"/>
  </w:style>
  <w:style w:type="paragraph" w:styleId="BalloonText">
    <w:name w:val="Balloon Text"/>
    <w:basedOn w:val="Normal"/>
    <w:link w:val="BalloonTextChar"/>
    <w:uiPriority w:val="99"/>
    <w:semiHidden/>
    <w:unhideWhenUsed/>
    <w:rsid w:val="005C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5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98124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12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C8"/>
  </w:style>
  <w:style w:type="paragraph" w:styleId="Footer">
    <w:name w:val="footer"/>
    <w:basedOn w:val="Normal"/>
    <w:link w:val="FooterChar"/>
    <w:uiPriority w:val="99"/>
    <w:unhideWhenUsed/>
    <w:rsid w:val="00F12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C8"/>
  </w:style>
  <w:style w:type="character" w:customStyle="1" w:styleId="Heading5Char">
    <w:name w:val="Heading 5 Char"/>
    <w:basedOn w:val="DefaultParagraphFont"/>
    <w:link w:val="Heading5"/>
    <w:rsid w:val="00981129"/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17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171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A9633B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Default">
    <w:name w:val="Default"/>
    <w:rsid w:val="00BF5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odyA">
    <w:name w:val="Body A"/>
    <w:rsid w:val="0073281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val="en-US" w:eastAsia="en-GB"/>
    </w:rPr>
  </w:style>
  <w:style w:type="character" w:customStyle="1" w:styleId="None">
    <w:name w:val="None"/>
    <w:rsid w:val="0073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Brosnahan</dc:creator>
  <cp:lastModifiedBy>Rachel Brosnahan</cp:lastModifiedBy>
  <cp:revision>6</cp:revision>
  <cp:lastPrinted>2018-08-02T12:05:00Z</cp:lastPrinted>
  <dcterms:created xsi:type="dcterms:W3CDTF">2019-03-12T15:44:00Z</dcterms:created>
  <dcterms:modified xsi:type="dcterms:W3CDTF">2019-03-13T17:49:00Z</dcterms:modified>
</cp:coreProperties>
</file>