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621E" w14:textId="77777777" w:rsidR="00DD60D7" w:rsidRPr="00D958FD" w:rsidRDefault="00FB1394" w:rsidP="007A65F4">
      <w:pPr>
        <w:rPr>
          <w:rFonts w:ascii="Manrope" w:hAnsi="Manrope"/>
          <w:b/>
          <w:bCs/>
          <w:sz w:val="32"/>
          <w:szCs w:val="32"/>
        </w:rPr>
      </w:pPr>
      <w:r w:rsidRPr="00D958FD">
        <w:rPr>
          <w:rFonts w:ascii="Manrope" w:hAnsi="Manrope"/>
          <w:b/>
          <w:bCs/>
          <w:sz w:val="32"/>
          <w:szCs w:val="32"/>
        </w:rPr>
        <w:t xml:space="preserve">Enterprise </w:t>
      </w:r>
    </w:p>
    <w:p w14:paraId="733BEC3A" w14:textId="77777777" w:rsidR="00DD60D7" w:rsidRPr="00D958FD" w:rsidRDefault="00FB1394" w:rsidP="007A65F4">
      <w:pPr>
        <w:rPr>
          <w:rFonts w:ascii="Manrope" w:hAnsi="Manrope"/>
          <w:b/>
          <w:bCs/>
          <w:sz w:val="32"/>
          <w:szCs w:val="32"/>
        </w:rPr>
      </w:pPr>
      <w:r w:rsidRPr="00D958FD">
        <w:rPr>
          <w:rFonts w:ascii="Manrope" w:hAnsi="Manrope"/>
          <w:b/>
          <w:bCs/>
          <w:sz w:val="32"/>
          <w:szCs w:val="32"/>
        </w:rPr>
        <w:t xml:space="preserve">Cheshire </w:t>
      </w:r>
      <w:r w:rsidR="00DD60D7" w:rsidRPr="00D958FD">
        <w:rPr>
          <w:rFonts w:ascii="Manrope" w:hAnsi="Manrope"/>
          <w:b/>
          <w:bCs/>
          <w:sz w:val="32"/>
          <w:szCs w:val="32"/>
        </w:rPr>
        <w:t>+</w:t>
      </w:r>
    </w:p>
    <w:p w14:paraId="31A67981" w14:textId="5CE257B1" w:rsidR="007A65F4" w:rsidRPr="00D958FD" w:rsidRDefault="00FB1394" w:rsidP="007A65F4">
      <w:pPr>
        <w:rPr>
          <w:rFonts w:ascii="Manrope" w:hAnsi="Manrope"/>
          <w:b/>
          <w:bCs/>
          <w:color w:val="660066"/>
          <w:sz w:val="48"/>
          <w:szCs w:val="48"/>
        </w:rPr>
      </w:pPr>
      <w:r w:rsidRPr="00D958FD">
        <w:rPr>
          <w:rFonts w:ascii="Manrope" w:hAnsi="Manrope"/>
          <w:b/>
          <w:bCs/>
          <w:sz w:val="32"/>
          <w:szCs w:val="32"/>
        </w:rPr>
        <w:t>Warrington</w:t>
      </w:r>
    </w:p>
    <w:p w14:paraId="20C9EF1D" w14:textId="77777777" w:rsidR="00BF2245" w:rsidRDefault="00BF2245" w:rsidP="00C04151">
      <w:pPr>
        <w:spacing w:before="480" w:line="440" w:lineRule="exact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20A0FE40" w14:textId="77777777" w:rsidR="00BF2245" w:rsidRDefault="00BF2245" w:rsidP="00C04151">
      <w:pPr>
        <w:spacing w:before="480" w:line="440" w:lineRule="exact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6A96E8E7" w14:textId="7DE6F70F" w:rsidR="00893707" w:rsidRPr="00D958FD" w:rsidRDefault="00A96328" w:rsidP="00C04151">
      <w:pPr>
        <w:spacing w:before="480" w:line="440" w:lineRule="exact"/>
        <w:jc w:val="center"/>
        <w:rPr>
          <w:rFonts w:ascii="Manrope" w:hAnsi="Manrope" w:cstheme="minorHAnsi"/>
          <w:b/>
          <w:color w:val="000000" w:themeColor="text1"/>
          <w:sz w:val="32"/>
          <w:szCs w:val="32"/>
        </w:rPr>
      </w:pPr>
      <w:r w:rsidRPr="00D958FD">
        <w:rPr>
          <w:rFonts w:ascii="Manrope" w:hAnsi="Manrope" w:cstheme="minorHAnsi"/>
          <w:b/>
          <w:color w:val="000000" w:themeColor="text1"/>
          <w:sz w:val="32"/>
          <w:szCs w:val="32"/>
        </w:rPr>
        <w:t>INVITATION TO TENDER FOR THE PROVISION OF</w:t>
      </w:r>
      <w:r w:rsidR="00BF2245" w:rsidRPr="00D958FD">
        <w:rPr>
          <w:rFonts w:ascii="Manrope" w:hAnsi="Manrope" w:cstheme="minorHAnsi"/>
          <w:b/>
          <w:color w:val="000000" w:themeColor="text1"/>
          <w:sz w:val="32"/>
          <w:szCs w:val="32"/>
        </w:rPr>
        <w:t xml:space="preserve"> </w:t>
      </w:r>
      <w:r w:rsidR="00893707" w:rsidRPr="00D958FD">
        <w:rPr>
          <w:rFonts w:ascii="Manrope" w:hAnsi="Manrope" w:cstheme="minorHAnsi"/>
          <w:b/>
          <w:color w:val="000000" w:themeColor="text1"/>
          <w:sz w:val="32"/>
          <w:szCs w:val="32"/>
        </w:rPr>
        <w:t xml:space="preserve">SUPPORT TO DEVELOP THE NEXT PHASE OF DATA AND LABOUR MARKET INTELLIGENCE IN CHESHIRE AND WARRINGTON </w:t>
      </w:r>
    </w:p>
    <w:p w14:paraId="40165F9E" w14:textId="77777777" w:rsidR="00BF2245" w:rsidRPr="00D958FD" w:rsidRDefault="00BF2245" w:rsidP="00C04151">
      <w:pPr>
        <w:spacing w:before="480" w:line="440" w:lineRule="exact"/>
        <w:jc w:val="center"/>
        <w:rPr>
          <w:rFonts w:ascii="Manrope" w:hAnsi="Manrope" w:cstheme="minorHAnsi"/>
          <w:b/>
          <w:color w:val="000000" w:themeColor="text1"/>
          <w:sz w:val="32"/>
          <w:szCs w:val="32"/>
        </w:rPr>
      </w:pPr>
    </w:p>
    <w:p w14:paraId="02068122" w14:textId="0CB51471" w:rsidR="00C04151" w:rsidRPr="00D958FD" w:rsidRDefault="00011E1E" w:rsidP="00C04151">
      <w:pPr>
        <w:spacing w:before="480" w:line="440" w:lineRule="exact"/>
        <w:jc w:val="center"/>
        <w:rPr>
          <w:rFonts w:ascii="Manrope" w:hAnsi="Manrope" w:cstheme="minorHAnsi"/>
          <w:b/>
          <w:color w:val="000000" w:themeColor="text1"/>
          <w:sz w:val="32"/>
          <w:szCs w:val="32"/>
        </w:rPr>
      </w:pPr>
      <w:r w:rsidRPr="00D958FD">
        <w:rPr>
          <w:rFonts w:ascii="Manrope" w:hAnsi="Manrope" w:cstheme="minorHAnsi"/>
          <w:b/>
          <w:color w:val="000000" w:themeColor="text1"/>
          <w:sz w:val="32"/>
          <w:szCs w:val="32"/>
        </w:rPr>
        <w:t xml:space="preserve">September </w:t>
      </w:r>
      <w:r w:rsidR="00893707" w:rsidRPr="00D958FD">
        <w:rPr>
          <w:rFonts w:ascii="Manrope" w:hAnsi="Manrope" w:cstheme="minorHAnsi"/>
          <w:b/>
          <w:color w:val="000000" w:themeColor="text1"/>
          <w:sz w:val="32"/>
          <w:szCs w:val="32"/>
        </w:rPr>
        <w:t>202</w:t>
      </w:r>
      <w:r w:rsidRPr="00D958FD">
        <w:rPr>
          <w:rFonts w:ascii="Manrope" w:hAnsi="Manrope" w:cstheme="minorHAnsi"/>
          <w:b/>
          <w:color w:val="000000" w:themeColor="text1"/>
          <w:sz w:val="32"/>
          <w:szCs w:val="32"/>
        </w:rPr>
        <w:t>5</w:t>
      </w:r>
    </w:p>
    <w:p w14:paraId="3919C77C" w14:textId="2D06BB9C" w:rsidR="00C04151" w:rsidRPr="00D958FD" w:rsidRDefault="00C04151" w:rsidP="00C04151">
      <w:pPr>
        <w:rPr>
          <w:rFonts w:ascii="Manrope" w:hAnsi="Manrope" w:cstheme="minorHAnsi"/>
        </w:rPr>
      </w:pPr>
      <w:r w:rsidRPr="00D958FD">
        <w:rPr>
          <w:rFonts w:ascii="Manrope" w:hAnsi="Manrope" w:cstheme="minorHAnsi"/>
        </w:rPr>
        <w:br w:type="page"/>
      </w:r>
    </w:p>
    <w:p w14:paraId="5CA35448" w14:textId="0E7FFCF7" w:rsidR="00A96328" w:rsidRPr="00BF2245" w:rsidRDefault="00A96328" w:rsidP="008F0EDB">
      <w:pPr>
        <w:pStyle w:val="ListParagraph"/>
        <w:numPr>
          <w:ilvl w:val="0"/>
          <w:numId w:val="1"/>
        </w:numPr>
        <w:spacing w:before="600" w:after="0"/>
        <w:ind w:left="567" w:hanging="567"/>
        <w:contextualSpacing w:val="0"/>
        <w:jc w:val="both"/>
        <w:rPr>
          <w:rFonts w:cstheme="minorHAnsi"/>
          <w:b/>
        </w:rPr>
      </w:pPr>
      <w:r w:rsidRPr="00BF2245">
        <w:rPr>
          <w:rFonts w:cstheme="minorHAnsi"/>
          <w:b/>
        </w:rPr>
        <w:lastRenderedPageBreak/>
        <w:t xml:space="preserve">Purpose of </w:t>
      </w:r>
      <w:r w:rsidR="00AD5C46">
        <w:rPr>
          <w:rFonts w:cstheme="minorHAnsi"/>
          <w:b/>
        </w:rPr>
        <w:t>C</w:t>
      </w:r>
      <w:r w:rsidRPr="00BF2245">
        <w:rPr>
          <w:rFonts w:cstheme="minorHAnsi"/>
          <w:b/>
        </w:rPr>
        <w:t>ommission</w:t>
      </w:r>
    </w:p>
    <w:p w14:paraId="2CA09C57" w14:textId="7030BB2C" w:rsidR="006C6CB9" w:rsidRPr="0031044B" w:rsidRDefault="00897D90" w:rsidP="00BF2245">
      <w:pPr>
        <w:jc w:val="both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Enterprise Cheshire and Warrington </w:t>
      </w:r>
      <w:r w:rsidR="00A96328" w:rsidRPr="00BF2245">
        <w:rPr>
          <w:rFonts w:cstheme="minorHAnsi"/>
        </w:rPr>
        <w:t>(</w:t>
      </w:r>
      <w:r>
        <w:rPr>
          <w:rFonts w:cstheme="minorHAnsi"/>
        </w:rPr>
        <w:t>ECW</w:t>
      </w:r>
      <w:r w:rsidR="00A96328" w:rsidRPr="00BF2245">
        <w:rPr>
          <w:rFonts w:cstheme="minorHAnsi"/>
        </w:rPr>
        <w:t xml:space="preserve">) is seeking to </w:t>
      </w:r>
      <w:r w:rsidR="00BF2245" w:rsidRPr="00BF2245">
        <w:rPr>
          <w:rFonts w:cstheme="minorHAnsi"/>
        </w:rPr>
        <w:t xml:space="preserve">secure consultancy support </w:t>
      </w:r>
      <w:r w:rsidR="00893707" w:rsidRPr="00BF2245">
        <w:rPr>
          <w:rFonts w:cstheme="minorHAnsi"/>
        </w:rPr>
        <w:t xml:space="preserve">to work with </w:t>
      </w:r>
      <w:r w:rsidR="002C1F0E">
        <w:rPr>
          <w:rFonts w:cstheme="minorHAnsi"/>
        </w:rPr>
        <w:t>ECW</w:t>
      </w:r>
      <w:r w:rsidR="002C79AE">
        <w:rPr>
          <w:rFonts w:cstheme="minorHAnsi"/>
        </w:rPr>
        <w:t>, our local authorities</w:t>
      </w:r>
      <w:r w:rsidR="00893707" w:rsidRPr="00BF2245">
        <w:rPr>
          <w:rFonts w:cstheme="minorHAnsi"/>
        </w:rPr>
        <w:t xml:space="preserve"> and other </w:t>
      </w:r>
      <w:r w:rsidR="002C79AE">
        <w:rPr>
          <w:rFonts w:cstheme="minorHAnsi"/>
        </w:rPr>
        <w:t xml:space="preserve">key partners including </w:t>
      </w:r>
      <w:r w:rsidR="00893707" w:rsidRPr="00BF2245">
        <w:rPr>
          <w:rFonts w:cstheme="minorHAnsi"/>
        </w:rPr>
        <w:t xml:space="preserve">members of the Data and Labour Market Steering Group to develop further the data and labour market information that </w:t>
      </w:r>
      <w:r w:rsidR="006C6CB9">
        <w:rPr>
          <w:rFonts w:cstheme="minorHAnsi"/>
        </w:rPr>
        <w:t xml:space="preserve">has been </w:t>
      </w:r>
      <w:r w:rsidR="00893707" w:rsidRPr="00BF2245">
        <w:rPr>
          <w:rFonts w:cstheme="minorHAnsi"/>
        </w:rPr>
        <w:t xml:space="preserve">completed </w:t>
      </w:r>
      <w:r w:rsidR="006C6CB9">
        <w:rPr>
          <w:rFonts w:cstheme="minorHAnsi"/>
        </w:rPr>
        <w:t xml:space="preserve">over </w:t>
      </w:r>
      <w:r w:rsidR="00D46E06">
        <w:rPr>
          <w:rFonts w:cstheme="minorHAnsi"/>
        </w:rPr>
        <w:t xml:space="preserve">recent </w:t>
      </w:r>
      <w:r w:rsidR="006C6CB9" w:rsidRPr="00D46E06">
        <w:rPr>
          <w:rFonts w:cstheme="minorHAnsi"/>
        </w:rPr>
        <w:t>years</w:t>
      </w:r>
      <w:r w:rsidR="00D46E06">
        <w:rPr>
          <w:rFonts w:cstheme="minorHAnsi"/>
        </w:rPr>
        <w:t xml:space="preserve"> and has enabled ECW and our partners to adopt a data driven approach to our work</w:t>
      </w:r>
      <w:r w:rsidR="00B5217F">
        <w:rPr>
          <w:rFonts w:cstheme="minorHAnsi"/>
        </w:rPr>
        <w:t xml:space="preserve"> including our investments in skills bootcamps</w:t>
      </w:r>
      <w:r w:rsidR="00D46E06" w:rsidRPr="00D46E06">
        <w:rPr>
          <w:rFonts w:cstheme="minorHAnsi"/>
        </w:rPr>
        <w:t>.</w:t>
      </w:r>
    </w:p>
    <w:p w14:paraId="55B40488" w14:textId="69EB6297" w:rsidR="00562BF9" w:rsidRPr="006C6CB9" w:rsidRDefault="00893707" w:rsidP="006C6CB9">
      <w:r w:rsidRPr="00BF2245">
        <w:rPr>
          <w:rFonts w:cstheme="minorHAnsi"/>
        </w:rPr>
        <w:t>A</w:t>
      </w:r>
      <w:r w:rsidR="006C6CB9">
        <w:rPr>
          <w:rFonts w:cstheme="minorHAnsi"/>
        </w:rPr>
        <w:t>ll the data a</w:t>
      </w:r>
      <w:r w:rsidR="00474DCF">
        <w:rPr>
          <w:rFonts w:cstheme="minorHAnsi"/>
        </w:rPr>
        <w:t>n</w:t>
      </w:r>
      <w:r w:rsidR="006C6CB9">
        <w:rPr>
          <w:rFonts w:cstheme="minorHAnsi"/>
        </w:rPr>
        <w:t xml:space="preserve">d labour market reports are </w:t>
      </w:r>
      <w:r w:rsidR="00474DCF">
        <w:rPr>
          <w:rFonts w:cstheme="minorHAnsi"/>
        </w:rPr>
        <w:t xml:space="preserve">listed in Annex A and </w:t>
      </w:r>
      <w:r w:rsidR="006C6CB9">
        <w:rPr>
          <w:rFonts w:cstheme="minorHAnsi"/>
        </w:rPr>
        <w:t xml:space="preserve">posted on the </w:t>
      </w:r>
      <w:r w:rsidR="006801B0">
        <w:rPr>
          <w:rFonts w:cstheme="minorHAnsi"/>
        </w:rPr>
        <w:t xml:space="preserve">ECW </w:t>
      </w:r>
      <w:r w:rsidR="006C6CB9">
        <w:rPr>
          <w:rFonts w:cstheme="minorHAnsi"/>
        </w:rPr>
        <w:t xml:space="preserve">website </w:t>
      </w:r>
      <w:r w:rsidR="00474DCF">
        <w:rPr>
          <w:rFonts w:cstheme="minorHAnsi"/>
        </w:rPr>
        <w:t xml:space="preserve">-   </w:t>
      </w:r>
      <w:hyperlink r:id="rId8" w:history="1">
        <w:r w:rsidR="006C6CB9" w:rsidRPr="00A13654">
          <w:rPr>
            <w:rStyle w:val="Hyperlink"/>
          </w:rPr>
          <w:t>https://cheshireandwarrington.com/what-we-do/skills-and-education/data-and-labour-market-information/</w:t>
        </w:r>
      </w:hyperlink>
      <w:r w:rsidR="006C6CB9">
        <w:t xml:space="preserve"> </w:t>
      </w:r>
    </w:p>
    <w:p w14:paraId="76C57F0F" w14:textId="3F222D95" w:rsidR="00A96328" w:rsidRDefault="00A96328" w:rsidP="008F0EDB">
      <w:pPr>
        <w:pStyle w:val="ListParagraph"/>
        <w:numPr>
          <w:ilvl w:val="0"/>
          <w:numId w:val="1"/>
        </w:numPr>
        <w:spacing w:before="240" w:after="0"/>
        <w:ind w:left="567" w:hanging="567"/>
        <w:contextualSpacing w:val="0"/>
        <w:jc w:val="both"/>
        <w:rPr>
          <w:rFonts w:cstheme="minorHAnsi"/>
          <w:b/>
        </w:rPr>
      </w:pPr>
      <w:r w:rsidRPr="00BF2245">
        <w:rPr>
          <w:rFonts w:cstheme="minorHAnsi"/>
          <w:b/>
        </w:rPr>
        <w:t xml:space="preserve">Background and </w:t>
      </w:r>
      <w:r w:rsidR="00AD5C46">
        <w:rPr>
          <w:rFonts w:cstheme="minorHAnsi"/>
          <w:b/>
        </w:rPr>
        <w:t>C</w:t>
      </w:r>
      <w:r w:rsidRPr="00BF2245">
        <w:rPr>
          <w:rFonts w:cstheme="minorHAnsi"/>
          <w:b/>
        </w:rPr>
        <w:t>ontext</w:t>
      </w:r>
    </w:p>
    <w:p w14:paraId="5AABF87D" w14:textId="3A61B075" w:rsidR="002C5B22" w:rsidRDefault="002C79AE" w:rsidP="00BF2245">
      <w:pPr>
        <w:rPr>
          <w:rFonts w:cstheme="minorHAnsi"/>
        </w:rPr>
      </w:pPr>
      <w:r>
        <w:rPr>
          <w:rFonts w:cstheme="minorHAnsi"/>
        </w:rPr>
        <w:t xml:space="preserve">ECW in collaboration with </w:t>
      </w:r>
      <w:r w:rsidR="00AB6D94">
        <w:rPr>
          <w:rFonts w:cstheme="minorHAnsi"/>
        </w:rPr>
        <w:t xml:space="preserve">our three local authorities and </w:t>
      </w:r>
      <w:r>
        <w:rPr>
          <w:rFonts w:cstheme="minorHAnsi"/>
        </w:rPr>
        <w:t>key partners including t</w:t>
      </w:r>
      <w:r w:rsidR="00122C90">
        <w:rPr>
          <w:rFonts w:cstheme="minorHAnsi"/>
        </w:rPr>
        <w:t xml:space="preserve">he </w:t>
      </w:r>
      <w:r w:rsidR="00A44ADE" w:rsidRPr="00BF2245">
        <w:rPr>
          <w:rFonts w:cstheme="minorHAnsi"/>
        </w:rPr>
        <w:t xml:space="preserve">Data and Labour Market </w:t>
      </w:r>
      <w:r w:rsidR="00A9435D">
        <w:rPr>
          <w:rFonts w:cstheme="minorHAnsi"/>
        </w:rPr>
        <w:t xml:space="preserve">Steering </w:t>
      </w:r>
      <w:r w:rsidR="00A44ADE" w:rsidRPr="00BF2245">
        <w:rPr>
          <w:rFonts w:cstheme="minorHAnsi"/>
        </w:rPr>
        <w:t>Group ha</w:t>
      </w:r>
      <w:r w:rsidR="00320178">
        <w:rPr>
          <w:rFonts w:cstheme="minorHAnsi"/>
        </w:rPr>
        <w:t>ve</w:t>
      </w:r>
      <w:r w:rsidR="00A44ADE" w:rsidRPr="00BF2245">
        <w:rPr>
          <w:rFonts w:cstheme="minorHAnsi"/>
        </w:rPr>
        <w:t xml:space="preserve"> been working over the last </w:t>
      </w:r>
      <w:r>
        <w:rPr>
          <w:rFonts w:cstheme="minorHAnsi"/>
        </w:rPr>
        <w:t xml:space="preserve">ten </w:t>
      </w:r>
      <w:r w:rsidR="00E356D9" w:rsidRPr="002C79AE">
        <w:rPr>
          <w:rFonts w:cstheme="minorHAnsi"/>
        </w:rPr>
        <w:t>year</w:t>
      </w:r>
      <w:r w:rsidR="006C6CB9" w:rsidRPr="002C79AE">
        <w:rPr>
          <w:rFonts w:cstheme="minorHAnsi"/>
        </w:rPr>
        <w:t>s</w:t>
      </w:r>
      <w:r w:rsidR="00E356D9" w:rsidRPr="00BF2245">
        <w:rPr>
          <w:rFonts w:cstheme="minorHAnsi"/>
        </w:rPr>
        <w:t xml:space="preserve"> </w:t>
      </w:r>
      <w:r w:rsidR="00A44ADE" w:rsidRPr="00BF2245">
        <w:rPr>
          <w:rFonts w:cstheme="minorHAnsi"/>
        </w:rPr>
        <w:t xml:space="preserve">to develop data and labour market intelligence that can inform </w:t>
      </w:r>
      <w:r w:rsidR="00BF2245">
        <w:rPr>
          <w:rFonts w:cstheme="minorHAnsi"/>
        </w:rPr>
        <w:t xml:space="preserve">the </w:t>
      </w:r>
      <w:r>
        <w:rPr>
          <w:rFonts w:cstheme="minorHAnsi"/>
        </w:rPr>
        <w:t>development of local strategies</w:t>
      </w:r>
      <w:r w:rsidR="00320178">
        <w:rPr>
          <w:rFonts w:cstheme="minorHAnsi"/>
        </w:rPr>
        <w:t xml:space="preserve">, </w:t>
      </w:r>
      <w:r w:rsidR="00BF2245">
        <w:rPr>
          <w:rFonts w:cstheme="minorHAnsi"/>
        </w:rPr>
        <w:t xml:space="preserve">delivery </w:t>
      </w:r>
      <w:r>
        <w:rPr>
          <w:rFonts w:cstheme="minorHAnsi"/>
        </w:rPr>
        <w:t>plans</w:t>
      </w:r>
      <w:r w:rsidR="00320178">
        <w:rPr>
          <w:rFonts w:cstheme="minorHAnsi"/>
        </w:rPr>
        <w:t xml:space="preserve">, targeting of investments </w:t>
      </w:r>
      <w:r w:rsidR="008B11B8">
        <w:rPr>
          <w:rFonts w:cstheme="minorHAnsi"/>
        </w:rPr>
        <w:t xml:space="preserve">(including most recently, the skills bootcamp programme) </w:t>
      </w:r>
      <w:r w:rsidR="00320178">
        <w:rPr>
          <w:rFonts w:cstheme="minorHAnsi"/>
        </w:rPr>
        <w:t>and the</w:t>
      </w:r>
      <w:r w:rsidR="00320178" w:rsidRPr="002C79AE">
        <w:rPr>
          <w:rFonts w:cstheme="minorHAnsi"/>
        </w:rPr>
        <w:t xml:space="preserve"> </w:t>
      </w:r>
      <w:r w:rsidR="00320178" w:rsidRPr="00BF2245">
        <w:rPr>
          <w:rFonts w:cstheme="minorHAnsi"/>
        </w:rPr>
        <w:t>development of the curriculum offers across Cheshire and Warrington</w:t>
      </w:r>
      <w:r w:rsidR="00320178">
        <w:rPr>
          <w:rFonts w:cstheme="minorHAnsi"/>
        </w:rPr>
        <w:t xml:space="preserve">.  </w:t>
      </w:r>
    </w:p>
    <w:p w14:paraId="064D880D" w14:textId="622FB126" w:rsidR="002C79AE" w:rsidRDefault="00320178" w:rsidP="00BF2245">
      <w:pPr>
        <w:rPr>
          <w:rFonts w:cstheme="minorHAnsi"/>
        </w:rPr>
      </w:pPr>
      <w:r>
        <w:rPr>
          <w:rFonts w:cstheme="minorHAnsi"/>
        </w:rPr>
        <w:t>Key recent strategies</w:t>
      </w:r>
      <w:r w:rsidR="00091BB5">
        <w:rPr>
          <w:rFonts w:cstheme="minorHAnsi"/>
        </w:rPr>
        <w:t xml:space="preserve"> and delivery programmes </w:t>
      </w:r>
      <w:r>
        <w:rPr>
          <w:rFonts w:cstheme="minorHAnsi"/>
        </w:rPr>
        <w:t xml:space="preserve">include </w:t>
      </w:r>
      <w:r w:rsidR="002C79AE">
        <w:rPr>
          <w:rFonts w:cstheme="minorHAnsi"/>
        </w:rPr>
        <w:t xml:space="preserve">the Sustainable Inclusive Economic Strategy, </w:t>
      </w:r>
      <w:r w:rsidR="00B52C52">
        <w:rPr>
          <w:rFonts w:cstheme="minorHAnsi"/>
        </w:rPr>
        <w:t xml:space="preserve">the local Get Britain Working Plan, </w:t>
      </w:r>
      <w:r w:rsidR="00682989">
        <w:rPr>
          <w:rFonts w:cstheme="minorHAnsi"/>
        </w:rPr>
        <w:t xml:space="preserve">the Merseyside and Cheshire </w:t>
      </w:r>
      <w:r w:rsidR="00A05303">
        <w:rPr>
          <w:rFonts w:cstheme="minorHAnsi"/>
        </w:rPr>
        <w:t xml:space="preserve">Integrated Care Board Health and Work Plan, </w:t>
      </w:r>
      <w:r>
        <w:rPr>
          <w:rFonts w:cstheme="minorHAnsi"/>
        </w:rPr>
        <w:t>t</w:t>
      </w:r>
      <w:r w:rsidR="002C79AE">
        <w:rPr>
          <w:rFonts w:cstheme="minorHAnsi"/>
        </w:rPr>
        <w:t>he Local Skills and Improvement Plan, the Careers Hub delivery plan, investments in skills bootcamps</w:t>
      </w:r>
      <w:r w:rsidR="00A05303">
        <w:rPr>
          <w:rFonts w:cstheme="minorHAnsi"/>
        </w:rPr>
        <w:t xml:space="preserve"> and </w:t>
      </w:r>
      <w:r w:rsidR="00091BB5">
        <w:rPr>
          <w:rFonts w:cstheme="minorHAnsi"/>
        </w:rPr>
        <w:t>the work of our local jobcentres</w:t>
      </w:r>
      <w:r w:rsidR="002C79AE">
        <w:rPr>
          <w:rFonts w:cstheme="minorHAnsi"/>
        </w:rPr>
        <w:t xml:space="preserve">.  </w:t>
      </w:r>
    </w:p>
    <w:p w14:paraId="7137F359" w14:textId="777189F9" w:rsidR="00990717" w:rsidRDefault="00681E25" w:rsidP="00BF2245">
      <w:r>
        <w:rPr>
          <w:rFonts w:cstheme="minorHAnsi"/>
        </w:rPr>
        <w:t>T</w:t>
      </w:r>
      <w:r w:rsidR="00B55640">
        <w:rPr>
          <w:rFonts w:cstheme="minorHAnsi"/>
        </w:rPr>
        <w:t xml:space="preserve">he </w:t>
      </w:r>
      <w:r>
        <w:rPr>
          <w:rFonts w:cstheme="minorHAnsi"/>
        </w:rPr>
        <w:t xml:space="preserve">labour market intelligence is also used </w:t>
      </w:r>
      <w:r w:rsidR="00426BF0">
        <w:rPr>
          <w:rFonts w:cstheme="minorHAnsi"/>
        </w:rPr>
        <w:t xml:space="preserve">to </w:t>
      </w:r>
      <w:r w:rsidR="00CA4E27">
        <w:rPr>
          <w:rFonts w:cstheme="minorHAnsi"/>
        </w:rPr>
        <w:t>inform the work of the Workforce and Economic Recovery Group and the Into</w:t>
      </w:r>
      <w:r w:rsidR="00FC595D">
        <w:rPr>
          <w:rFonts w:cstheme="minorHAnsi"/>
        </w:rPr>
        <w:t xml:space="preserve"> </w:t>
      </w:r>
      <w:r w:rsidR="00CA4E27">
        <w:rPr>
          <w:rFonts w:cstheme="minorHAnsi"/>
        </w:rPr>
        <w:t xml:space="preserve">Work Board and </w:t>
      </w:r>
      <w:r w:rsidR="00FC595D">
        <w:rPr>
          <w:rFonts w:cstheme="minorHAnsi"/>
        </w:rPr>
        <w:t xml:space="preserve">to </w:t>
      </w:r>
      <w:r w:rsidR="00426BF0">
        <w:rPr>
          <w:rFonts w:cstheme="minorHAnsi"/>
        </w:rPr>
        <w:t xml:space="preserve">support the </w:t>
      </w:r>
      <w:r w:rsidR="00843B9D">
        <w:rPr>
          <w:rFonts w:cstheme="minorHAnsi"/>
        </w:rPr>
        <w:t>Jobs Portal (</w:t>
      </w:r>
      <w:hyperlink r:id="rId9" w:history="1">
        <w:r w:rsidR="003E00AA" w:rsidRPr="003E00AA">
          <w:rPr>
            <w:color w:val="0000FF"/>
            <w:u w:val="single"/>
          </w:rPr>
          <w:t>Cheshire &amp; Warrington Opportunities (candwopportunities.co.uk)</w:t>
        </w:r>
      </w:hyperlink>
      <w:r w:rsidR="00474DCF">
        <w:rPr>
          <w:color w:val="0000FF"/>
          <w:u w:val="single"/>
        </w:rPr>
        <w:t xml:space="preserve"> </w:t>
      </w:r>
      <w:r w:rsidR="00474DCF" w:rsidRPr="00474DCF">
        <w:t>which in turn is providing real-time labour market intelligence</w:t>
      </w:r>
      <w:r w:rsidR="001E3A0F">
        <w:t xml:space="preserve"> that complements historical job </w:t>
      </w:r>
      <w:r w:rsidR="00177D42">
        <w:t xml:space="preserve">vacancy data (currently from Lightcast) and </w:t>
      </w:r>
      <w:r w:rsidR="002F6244">
        <w:t xml:space="preserve">the DWP </w:t>
      </w:r>
      <w:r w:rsidR="005D733B">
        <w:t>Stat Xplore data about recipients of Universal Credit.</w:t>
      </w:r>
      <w:r w:rsidR="001E3A0F">
        <w:t xml:space="preserve"> </w:t>
      </w:r>
    </w:p>
    <w:p w14:paraId="4DA9C3D7" w14:textId="1708F1DF" w:rsidR="00BF2245" w:rsidRPr="004410AE" w:rsidRDefault="006C6CB9" w:rsidP="00BF2245">
      <w:pPr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The Data and Labour Market Intelligence Group has a wide membership including representatives of all the local authorities, the further education colleges, </w:t>
      </w:r>
      <w:r w:rsidR="00857ED5">
        <w:rPr>
          <w:rFonts w:cstheme="minorHAnsi"/>
        </w:rPr>
        <w:t xml:space="preserve">DWP, </w:t>
      </w:r>
      <w:r>
        <w:rPr>
          <w:rFonts w:cstheme="minorHAnsi"/>
        </w:rPr>
        <w:t>the University of Chester and other training and education</w:t>
      </w:r>
      <w:r w:rsidR="0049382C">
        <w:rPr>
          <w:rFonts w:cstheme="minorHAnsi"/>
        </w:rPr>
        <w:t xml:space="preserve"> providers</w:t>
      </w:r>
      <w:r>
        <w:rPr>
          <w:rFonts w:cstheme="minorHAnsi"/>
        </w:rPr>
        <w:t xml:space="preserve">, the local deliverers of the National Career Service and </w:t>
      </w:r>
      <w:proofErr w:type="gramStart"/>
      <w:r>
        <w:rPr>
          <w:rFonts w:cstheme="minorHAnsi"/>
        </w:rPr>
        <w:t>a number of</w:t>
      </w:r>
      <w:proofErr w:type="gramEnd"/>
      <w:r>
        <w:rPr>
          <w:rFonts w:cstheme="minorHAnsi"/>
        </w:rPr>
        <w:t xml:space="preserve"> local Housing Associations. </w:t>
      </w:r>
    </w:p>
    <w:p w14:paraId="7718A91C" w14:textId="377ED364" w:rsidR="001C6DB0" w:rsidRDefault="009018F3" w:rsidP="00BF2245">
      <w:pPr>
        <w:rPr>
          <w:rFonts w:cstheme="minorHAnsi"/>
        </w:rPr>
      </w:pPr>
      <w:r>
        <w:rPr>
          <w:rFonts w:cstheme="minorHAnsi"/>
        </w:rPr>
        <w:t>The Skills Bootcamp Steering Group uses data and labour market intelligence as part of their assessment of proposed investments in skills bootcamps and t</w:t>
      </w:r>
      <w:r w:rsidR="000903B9">
        <w:rPr>
          <w:rFonts w:cstheme="minorHAnsi"/>
        </w:rPr>
        <w:t xml:space="preserve">he Workforce and Economic Recovery Group and the Into Work Board </w:t>
      </w:r>
      <w:r w:rsidR="00162998">
        <w:rPr>
          <w:rFonts w:cstheme="minorHAnsi"/>
        </w:rPr>
        <w:t xml:space="preserve">regularly review the key messages emerging from the data and labour market intelligence and </w:t>
      </w:r>
      <w:r w:rsidR="006D0F2C">
        <w:rPr>
          <w:rFonts w:cstheme="minorHAnsi"/>
        </w:rPr>
        <w:t xml:space="preserve">identify issues that need further investigation. </w:t>
      </w:r>
      <w:r w:rsidR="00C17917">
        <w:rPr>
          <w:rFonts w:cstheme="minorHAnsi"/>
        </w:rPr>
        <w:t xml:space="preserve">Issues </w:t>
      </w:r>
      <w:r w:rsidR="006D0F2C">
        <w:rPr>
          <w:rFonts w:cstheme="minorHAnsi"/>
        </w:rPr>
        <w:t xml:space="preserve">include </w:t>
      </w:r>
      <w:r w:rsidR="00575CEB">
        <w:rPr>
          <w:rFonts w:cstheme="minorHAnsi"/>
        </w:rPr>
        <w:t>new and emerging job opportunities</w:t>
      </w:r>
      <w:r w:rsidR="00C17917">
        <w:rPr>
          <w:rFonts w:cstheme="minorHAnsi"/>
        </w:rPr>
        <w:t xml:space="preserve"> and associated skills requirements, the impact of new technologies</w:t>
      </w:r>
      <w:r w:rsidR="00575CEB">
        <w:rPr>
          <w:rFonts w:cstheme="minorHAnsi"/>
        </w:rPr>
        <w:t xml:space="preserve">, </w:t>
      </w:r>
      <w:r w:rsidR="00C46C80">
        <w:rPr>
          <w:rFonts w:cstheme="minorHAnsi"/>
        </w:rPr>
        <w:t xml:space="preserve">the nature of worklessness and economic inactivity and the risks associated with people dropping out of employment, education and </w:t>
      </w:r>
      <w:r w:rsidR="001C6DB0">
        <w:rPr>
          <w:rFonts w:cstheme="minorHAnsi"/>
        </w:rPr>
        <w:t>training.</w:t>
      </w:r>
    </w:p>
    <w:p w14:paraId="76D20CA5" w14:textId="5F71E684" w:rsidR="00E356D9" w:rsidRPr="007873C5" w:rsidRDefault="007873C5" w:rsidP="007873C5">
      <w:pPr>
        <w:rPr>
          <w:rFonts w:cstheme="minorHAnsi"/>
          <w:b/>
        </w:rPr>
      </w:pPr>
      <w:r>
        <w:rPr>
          <w:rFonts w:cstheme="minorHAnsi"/>
          <w:b/>
        </w:rPr>
        <w:t>3.</w:t>
      </w:r>
      <w:r>
        <w:rPr>
          <w:rFonts w:cstheme="minorHAnsi"/>
          <w:b/>
        </w:rPr>
        <w:tab/>
      </w:r>
      <w:r w:rsidR="00A96328" w:rsidRPr="007873C5">
        <w:rPr>
          <w:rFonts w:cstheme="minorHAnsi"/>
          <w:b/>
        </w:rPr>
        <w:t xml:space="preserve">Scope of </w:t>
      </w:r>
      <w:r w:rsidR="00AD5C46" w:rsidRPr="007873C5">
        <w:rPr>
          <w:rFonts w:cstheme="minorHAnsi"/>
          <w:b/>
        </w:rPr>
        <w:t>S</w:t>
      </w:r>
      <w:r w:rsidR="00A96328" w:rsidRPr="007873C5">
        <w:rPr>
          <w:rFonts w:cstheme="minorHAnsi"/>
          <w:b/>
        </w:rPr>
        <w:t>ervices</w:t>
      </w:r>
    </w:p>
    <w:p w14:paraId="5872D8DF" w14:textId="3DA329FD" w:rsidR="00AA535C" w:rsidRDefault="00E3561F" w:rsidP="00C457B1">
      <w:pPr>
        <w:rPr>
          <w:rFonts w:cstheme="minorHAnsi"/>
        </w:rPr>
      </w:pPr>
      <w:r>
        <w:rPr>
          <w:rFonts w:cstheme="minorHAnsi"/>
        </w:rPr>
        <w:t>We</w:t>
      </w:r>
      <w:r w:rsidR="00422CC3">
        <w:rPr>
          <w:rFonts w:cstheme="minorHAnsi"/>
        </w:rPr>
        <w:t xml:space="preserve"> </w:t>
      </w:r>
      <w:r>
        <w:rPr>
          <w:rFonts w:cstheme="minorHAnsi"/>
        </w:rPr>
        <w:t xml:space="preserve">are keen to understand historical trends and real time data </w:t>
      </w:r>
      <w:r w:rsidR="00422CC3">
        <w:rPr>
          <w:rFonts w:cstheme="minorHAnsi"/>
        </w:rPr>
        <w:t>a</w:t>
      </w:r>
      <w:r w:rsidR="00AF1EB4">
        <w:rPr>
          <w:rFonts w:cstheme="minorHAnsi"/>
        </w:rPr>
        <w:t xml:space="preserve">s </w:t>
      </w:r>
      <w:r w:rsidR="00422CC3">
        <w:rPr>
          <w:rFonts w:cstheme="minorHAnsi"/>
        </w:rPr>
        <w:t xml:space="preserve">well as </w:t>
      </w:r>
      <w:r w:rsidR="00AF1EB4">
        <w:rPr>
          <w:rFonts w:cstheme="minorHAnsi"/>
        </w:rPr>
        <w:t xml:space="preserve">triangulating the data with </w:t>
      </w:r>
      <w:r w:rsidR="009253B9">
        <w:rPr>
          <w:rFonts w:cstheme="minorHAnsi"/>
        </w:rPr>
        <w:t xml:space="preserve">intelligence </w:t>
      </w:r>
      <w:r w:rsidR="00AA535C">
        <w:rPr>
          <w:rFonts w:cstheme="minorHAnsi"/>
        </w:rPr>
        <w:t xml:space="preserve">from local employers and </w:t>
      </w:r>
      <w:proofErr w:type="gramStart"/>
      <w:r w:rsidR="00AA535C">
        <w:rPr>
          <w:rFonts w:cstheme="minorHAnsi"/>
        </w:rPr>
        <w:t>local residents</w:t>
      </w:r>
      <w:proofErr w:type="gramEnd"/>
      <w:r w:rsidR="00AA535C">
        <w:rPr>
          <w:rFonts w:cstheme="minorHAnsi"/>
        </w:rPr>
        <w:t>.</w:t>
      </w:r>
    </w:p>
    <w:p w14:paraId="7C8DA171" w14:textId="0CA1669F" w:rsidR="00C457B1" w:rsidRDefault="00107E2C" w:rsidP="00C457B1">
      <w:pPr>
        <w:rPr>
          <w:rFonts w:cstheme="minorHAnsi"/>
        </w:rPr>
      </w:pPr>
      <w:r>
        <w:rPr>
          <w:rFonts w:cstheme="minorHAnsi"/>
        </w:rPr>
        <w:t>We want to establish a</w:t>
      </w:r>
      <w:r w:rsidR="0098536E">
        <w:rPr>
          <w:rFonts w:cstheme="minorHAnsi"/>
        </w:rPr>
        <w:t xml:space="preserve"> flexible and e</w:t>
      </w:r>
      <w:r w:rsidR="008B0E2D">
        <w:rPr>
          <w:rFonts w:cstheme="minorHAnsi"/>
        </w:rPr>
        <w:t xml:space="preserve">volving </w:t>
      </w:r>
      <w:r w:rsidR="002C70AB" w:rsidRPr="00BF2245">
        <w:rPr>
          <w:rFonts w:cstheme="minorHAnsi"/>
        </w:rPr>
        <w:t xml:space="preserve">work programme </w:t>
      </w:r>
      <w:r w:rsidR="008B0E2D">
        <w:rPr>
          <w:rFonts w:cstheme="minorHAnsi"/>
        </w:rPr>
        <w:t xml:space="preserve">where </w:t>
      </w:r>
      <w:r w:rsidR="0091587D">
        <w:rPr>
          <w:rFonts w:cstheme="minorHAnsi"/>
        </w:rPr>
        <w:t xml:space="preserve">we commission </w:t>
      </w:r>
      <w:r w:rsidR="00AC1A3F">
        <w:rPr>
          <w:rFonts w:cstheme="minorHAnsi"/>
        </w:rPr>
        <w:t xml:space="preserve">specific pieces of analysis and </w:t>
      </w:r>
      <w:r w:rsidR="00842FB6">
        <w:rPr>
          <w:rFonts w:cstheme="minorHAnsi"/>
        </w:rPr>
        <w:t>reports as issues arise.  We</w:t>
      </w:r>
      <w:r w:rsidR="008B0E2D">
        <w:rPr>
          <w:rFonts w:cstheme="minorHAnsi"/>
        </w:rPr>
        <w:t xml:space="preserve"> will </w:t>
      </w:r>
      <w:r w:rsidR="00A13DDA">
        <w:rPr>
          <w:rFonts w:cstheme="minorHAnsi"/>
        </w:rPr>
        <w:t xml:space="preserve">specify short and longer pieces of analysis and reports </w:t>
      </w:r>
      <w:r w:rsidR="002C70AB" w:rsidRPr="00BF2245">
        <w:rPr>
          <w:rFonts w:cstheme="minorHAnsi"/>
        </w:rPr>
        <w:t xml:space="preserve">in response to </w:t>
      </w:r>
      <w:r w:rsidR="00CD5ED8">
        <w:rPr>
          <w:rFonts w:cstheme="minorHAnsi"/>
        </w:rPr>
        <w:t xml:space="preserve">requests and </w:t>
      </w:r>
      <w:r w:rsidR="002C70AB" w:rsidRPr="00BF2245">
        <w:rPr>
          <w:rFonts w:cstheme="minorHAnsi"/>
        </w:rPr>
        <w:t xml:space="preserve">feedback from </w:t>
      </w:r>
      <w:r w:rsidR="001C6DB0">
        <w:rPr>
          <w:rFonts w:cstheme="minorHAnsi"/>
        </w:rPr>
        <w:t>local partners</w:t>
      </w:r>
      <w:r w:rsidR="00854446">
        <w:rPr>
          <w:rFonts w:cstheme="minorHAnsi"/>
        </w:rPr>
        <w:t xml:space="preserve"> as well as emerging evidence from investment programmes </w:t>
      </w:r>
      <w:r w:rsidR="00707FAE">
        <w:rPr>
          <w:rFonts w:cstheme="minorHAnsi"/>
        </w:rPr>
        <w:t>including the skills bootcamp programme</w:t>
      </w:r>
      <w:r w:rsidR="001A640C">
        <w:rPr>
          <w:rFonts w:cstheme="minorHAnsi"/>
        </w:rPr>
        <w:t>.</w:t>
      </w:r>
      <w:r w:rsidR="00D646B0">
        <w:rPr>
          <w:rFonts w:cstheme="minorHAnsi"/>
        </w:rPr>
        <w:t xml:space="preserve">  Key </w:t>
      </w:r>
      <w:r w:rsidR="00E356D9" w:rsidRPr="00BF2245">
        <w:rPr>
          <w:rFonts w:cstheme="minorHAnsi"/>
        </w:rPr>
        <w:t>areas for further investigation include a deeper understanding of</w:t>
      </w:r>
      <w:r w:rsidR="00C457B1">
        <w:rPr>
          <w:rFonts w:cstheme="minorHAnsi"/>
        </w:rPr>
        <w:t xml:space="preserve"> t</w:t>
      </w:r>
      <w:r w:rsidR="00F612CB">
        <w:rPr>
          <w:rFonts w:cstheme="minorHAnsi"/>
          <w:b/>
          <w:bCs/>
        </w:rPr>
        <w:t xml:space="preserve">he </w:t>
      </w:r>
      <w:r w:rsidR="000527B3">
        <w:rPr>
          <w:rFonts w:cstheme="minorHAnsi"/>
          <w:b/>
          <w:bCs/>
        </w:rPr>
        <w:t>changing nature of the labour market</w:t>
      </w:r>
      <w:r w:rsidR="009A5BD2">
        <w:rPr>
          <w:rFonts w:cstheme="minorHAnsi"/>
          <w:b/>
          <w:bCs/>
        </w:rPr>
        <w:t xml:space="preserve">, </w:t>
      </w:r>
      <w:r w:rsidR="00707FAE">
        <w:rPr>
          <w:rFonts w:cstheme="minorHAnsi"/>
          <w:b/>
          <w:bCs/>
        </w:rPr>
        <w:t xml:space="preserve">the </w:t>
      </w:r>
      <w:r w:rsidR="00FD3933">
        <w:rPr>
          <w:rFonts w:cstheme="minorHAnsi"/>
          <w:b/>
          <w:bCs/>
        </w:rPr>
        <w:t xml:space="preserve">associated </w:t>
      </w:r>
      <w:r w:rsidR="009A5BD2">
        <w:rPr>
          <w:rFonts w:cstheme="minorHAnsi"/>
          <w:b/>
          <w:bCs/>
        </w:rPr>
        <w:t xml:space="preserve">opportunities and challenges </w:t>
      </w:r>
      <w:r w:rsidR="00707FAE">
        <w:rPr>
          <w:rFonts w:cstheme="minorHAnsi"/>
          <w:b/>
          <w:bCs/>
        </w:rPr>
        <w:lastRenderedPageBreak/>
        <w:t xml:space="preserve">and the </w:t>
      </w:r>
      <w:r w:rsidR="00134D12">
        <w:rPr>
          <w:rFonts w:cstheme="minorHAnsi"/>
          <w:b/>
          <w:bCs/>
        </w:rPr>
        <w:t>scope for better targeting of investments</w:t>
      </w:r>
      <w:r w:rsidR="0099693A">
        <w:rPr>
          <w:rFonts w:cstheme="minorHAnsi"/>
          <w:b/>
          <w:bCs/>
        </w:rPr>
        <w:t xml:space="preserve"> to maximise impact and outcomes</w:t>
      </w:r>
      <w:r w:rsidR="00134D12">
        <w:rPr>
          <w:rFonts w:cstheme="minorHAnsi"/>
          <w:b/>
          <w:bCs/>
        </w:rPr>
        <w:t xml:space="preserve">.   </w:t>
      </w:r>
      <w:r w:rsidR="0099693A">
        <w:rPr>
          <w:rFonts w:cstheme="minorHAnsi"/>
          <w:b/>
          <w:bCs/>
        </w:rPr>
        <w:t xml:space="preserve">Key areas of current interest </w:t>
      </w:r>
      <w:r w:rsidR="000527B3" w:rsidRPr="000527B3">
        <w:rPr>
          <w:rFonts w:cstheme="minorHAnsi"/>
        </w:rPr>
        <w:t>includ</w:t>
      </w:r>
      <w:r w:rsidR="0099693A">
        <w:rPr>
          <w:rFonts w:cstheme="minorHAnsi"/>
        </w:rPr>
        <w:t>e</w:t>
      </w:r>
      <w:r w:rsidR="00C457B1">
        <w:rPr>
          <w:rFonts w:cstheme="minorHAnsi"/>
        </w:rPr>
        <w:t>:</w:t>
      </w:r>
    </w:p>
    <w:p w14:paraId="62F2F6F1" w14:textId="120F35D3" w:rsidR="008A679E" w:rsidRPr="00022CC7" w:rsidRDefault="008A679E" w:rsidP="00022CC7">
      <w:pPr>
        <w:pStyle w:val="ListParagraph"/>
        <w:numPr>
          <w:ilvl w:val="0"/>
          <w:numId w:val="23"/>
        </w:numPr>
        <w:rPr>
          <w:rFonts w:cstheme="minorHAnsi"/>
        </w:rPr>
      </w:pPr>
      <w:r w:rsidRPr="00022CC7">
        <w:rPr>
          <w:rFonts w:cstheme="minorHAnsi"/>
        </w:rPr>
        <w:t xml:space="preserve">Employer and wider economic demands </w:t>
      </w:r>
      <w:r w:rsidR="00F0628C" w:rsidRPr="00022CC7">
        <w:rPr>
          <w:rFonts w:cstheme="minorHAnsi"/>
        </w:rPr>
        <w:t>–</w:t>
      </w:r>
      <w:r w:rsidRPr="00022CC7">
        <w:rPr>
          <w:rFonts w:cstheme="minorHAnsi"/>
        </w:rPr>
        <w:t xml:space="preserve"> </w:t>
      </w:r>
      <w:r w:rsidR="00F0628C" w:rsidRPr="00022CC7">
        <w:rPr>
          <w:rFonts w:cstheme="minorHAnsi"/>
        </w:rPr>
        <w:t xml:space="preserve">the </w:t>
      </w:r>
      <w:r w:rsidR="009C4B25" w:rsidRPr="00022CC7">
        <w:rPr>
          <w:rFonts w:cstheme="minorHAnsi"/>
        </w:rPr>
        <w:t xml:space="preserve">changing </w:t>
      </w:r>
      <w:r w:rsidR="00F0628C" w:rsidRPr="00022CC7">
        <w:rPr>
          <w:rFonts w:cstheme="minorHAnsi"/>
        </w:rPr>
        <w:t xml:space="preserve">nature of </w:t>
      </w:r>
      <w:r w:rsidR="00E356D9" w:rsidRPr="00022CC7">
        <w:rPr>
          <w:rFonts w:cstheme="minorHAnsi"/>
        </w:rPr>
        <w:t>new jobs and vacancies, replacement demand, skills shortages and gaps</w:t>
      </w:r>
      <w:r w:rsidR="00921879" w:rsidRPr="00022CC7">
        <w:rPr>
          <w:rFonts w:cstheme="minorHAnsi"/>
        </w:rPr>
        <w:t>, hard to fill vacancies</w:t>
      </w:r>
      <w:r w:rsidR="00E356D9" w:rsidRPr="00022CC7">
        <w:rPr>
          <w:rFonts w:cstheme="minorHAnsi"/>
        </w:rPr>
        <w:t xml:space="preserve"> and the level of ‘churn’ in key areas of the economy</w:t>
      </w:r>
    </w:p>
    <w:p w14:paraId="7FAD139A" w14:textId="7662E5FB" w:rsidR="00DE289B" w:rsidRPr="00022CC7" w:rsidRDefault="00DE289B" w:rsidP="00022CC7">
      <w:pPr>
        <w:pStyle w:val="ListParagraph"/>
        <w:numPr>
          <w:ilvl w:val="0"/>
          <w:numId w:val="23"/>
        </w:numPr>
        <w:rPr>
          <w:rFonts w:cstheme="minorHAnsi"/>
        </w:rPr>
      </w:pPr>
      <w:r w:rsidRPr="00022CC7">
        <w:rPr>
          <w:rFonts w:cstheme="minorHAnsi"/>
        </w:rPr>
        <w:t xml:space="preserve">A better understanding of the key drivers </w:t>
      </w:r>
      <w:r w:rsidR="00F0628C" w:rsidRPr="00022CC7">
        <w:rPr>
          <w:rFonts w:cstheme="minorHAnsi"/>
        </w:rPr>
        <w:t>of employer investment in employment and skills</w:t>
      </w:r>
      <w:r w:rsidR="00003699">
        <w:rPr>
          <w:rFonts w:cstheme="minorHAnsi"/>
        </w:rPr>
        <w:t xml:space="preserve"> and the extent to which</w:t>
      </w:r>
      <w:r w:rsidR="00F0628C" w:rsidRPr="00022CC7">
        <w:rPr>
          <w:rFonts w:cstheme="minorHAnsi"/>
        </w:rPr>
        <w:t xml:space="preserve"> </w:t>
      </w:r>
      <w:r w:rsidR="00003699">
        <w:rPr>
          <w:rFonts w:ascii="Calibri" w:eastAsia="Times New Roman" w:hAnsi="Calibri" w:cs="Calibri"/>
        </w:rPr>
        <w:t>employers are adjusting their recruitment practices in the light of the changing labour market and the nature of their hard to fill vacancies</w:t>
      </w:r>
      <w:r w:rsidR="000F5B8F">
        <w:rPr>
          <w:rFonts w:ascii="Calibri" w:eastAsia="Times New Roman" w:hAnsi="Calibri" w:cs="Calibri"/>
        </w:rPr>
        <w:t xml:space="preserve"> – this work can </w:t>
      </w:r>
      <w:r w:rsidR="00AF2B54">
        <w:rPr>
          <w:rFonts w:ascii="Calibri" w:eastAsia="Times New Roman" w:hAnsi="Calibri" w:cs="Calibri"/>
        </w:rPr>
        <w:t xml:space="preserve">include </w:t>
      </w:r>
      <w:r w:rsidR="000F5B8F">
        <w:rPr>
          <w:rFonts w:ascii="Calibri" w:eastAsia="Times New Roman" w:hAnsi="Calibri" w:cs="Calibri"/>
        </w:rPr>
        <w:t>draw</w:t>
      </w:r>
      <w:r w:rsidR="00AF2B54">
        <w:rPr>
          <w:rFonts w:ascii="Calibri" w:eastAsia="Times New Roman" w:hAnsi="Calibri" w:cs="Calibri"/>
        </w:rPr>
        <w:t>ing</w:t>
      </w:r>
      <w:r w:rsidR="000F5B8F">
        <w:rPr>
          <w:rFonts w:ascii="Calibri" w:eastAsia="Times New Roman" w:hAnsi="Calibri" w:cs="Calibri"/>
        </w:rPr>
        <w:t xml:space="preserve"> on </w:t>
      </w:r>
      <w:r w:rsidR="00AF2B54">
        <w:rPr>
          <w:rFonts w:ascii="Calibri" w:eastAsia="Times New Roman" w:hAnsi="Calibri" w:cs="Calibri"/>
        </w:rPr>
        <w:t>our experience to date of employer engagement in skills b</w:t>
      </w:r>
      <w:r w:rsidR="00FE3351">
        <w:rPr>
          <w:rFonts w:ascii="Calibri" w:eastAsia="Times New Roman" w:hAnsi="Calibri" w:cs="Calibri"/>
        </w:rPr>
        <w:t>o</w:t>
      </w:r>
      <w:r w:rsidR="00AF2B54">
        <w:rPr>
          <w:rFonts w:ascii="Calibri" w:eastAsia="Times New Roman" w:hAnsi="Calibri" w:cs="Calibri"/>
        </w:rPr>
        <w:t>otcamps</w:t>
      </w:r>
      <w:r w:rsidR="00003699">
        <w:rPr>
          <w:rFonts w:ascii="Calibri" w:eastAsia="Times New Roman" w:hAnsi="Calibri" w:cs="Calibri"/>
        </w:rPr>
        <w:t>.</w:t>
      </w:r>
    </w:p>
    <w:p w14:paraId="64731B22" w14:textId="08DB3D0D" w:rsidR="00921879" w:rsidRDefault="008A679E" w:rsidP="00022CC7">
      <w:pPr>
        <w:pStyle w:val="ListParagraph"/>
        <w:numPr>
          <w:ilvl w:val="0"/>
          <w:numId w:val="23"/>
        </w:numPr>
        <w:rPr>
          <w:rFonts w:cstheme="minorHAnsi"/>
        </w:rPr>
      </w:pPr>
      <w:r w:rsidRPr="00022CC7">
        <w:rPr>
          <w:rFonts w:cstheme="minorHAnsi"/>
        </w:rPr>
        <w:t>T</w:t>
      </w:r>
      <w:r w:rsidR="00222991" w:rsidRPr="00022CC7">
        <w:rPr>
          <w:rFonts w:cstheme="minorHAnsi"/>
        </w:rPr>
        <w:t xml:space="preserve">he characteristics of </w:t>
      </w:r>
      <w:r w:rsidR="00F71597">
        <w:rPr>
          <w:rFonts w:cstheme="minorHAnsi"/>
        </w:rPr>
        <w:t xml:space="preserve">specific cohorts of people who are </w:t>
      </w:r>
      <w:r w:rsidR="00222991" w:rsidRPr="00022CC7">
        <w:rPr>
          <w:rFonts w:cstheme="minorHAnsi"/>
        </w:rPr>
        <w:t>unemployed</w:t>
      </w:r>
      <w:r w:rsidR="00921879" w:rsidRPr="00022CC7">
        <w:rPr>
          <w:rFonts w:cstheme="minorHAnsi"/>
        </w:rPr>
        <w:t>, economically inactive and at risk of dropping out</w:t>
      </w:r>
      <w:r w:rsidR="00C14C73" w:rsidRPr="00022CC7">
        <w:rPr>
          <w:rFonts w:cstheme="minorHAnsi"/>
        </w:rPr>
        <w:t xml:space="preserve"> </w:t>
      </w:r>
      <w:r w:rsidR="00E356D9" w:rsidRPr="00022CC7">
        <w:rPr>
          <w:rFonts w:cstheme="minorHAnsi"/>
        </w:rPr>
        <w:t xml:space="preserve">and the </w:t>
      </w:r>
      <w:r w:rsidR="00E3561F" w:rsidRPr="00022CC7">
        <w:rPr>
          <w:rFonts w:cstheme="minorHAnsi"/>
        </w:rPr>
        <w:t>people who are already employed but may need to r</w:t>
      </w:r>
      <w:r w:rsidR="00E356D9" w:rsidRPr="00022CC7">
        <w:rPr>
          <w:rFonts w:cstheme="minorHAnsi"/>
        </w:rPr>
        <w:t xml:space="preserve">eskill and upskill </w:t>
      </w:r>
      <w:proofErr w:type="gramStart"/>
      <w:r w:rsidR="00E356D9" w:rsidRPr="00022CC7">
        <w:rPr>
          <w:rFonts w:cstheme="minorHAnsi"/>
        </w:rPr>
        <w:t>as a result of</w:t>
      </w:r>
      <w:proofErr w:type="gramEnd"/>
      <w:r w:rsidR="00E356D9" w:rsidRPr="00022CC7">
        <w:rPr>
          <w:rFonts w:cstheme="minorHAnsi"/>
        </w:rPr>
        <w:t xml:space="preserve"> the introduction of new technologies and new business processes</w:t>
      </w:r>
      <w:r w:rsidR="00FE3351">
        <w:rPr>
          <w:rFonts w:cstheme="minorHAnsi"/>
        </w:rPr>
        <w:t xml:space="preserve"> e.g. artific</w:t>
      </w:r>
      <w:r w:rsidR="00860D95">
        <w:rPr>
          <w:rFonts w:cstheme="minorHAnsi"/>
        </w:rPr>
        <w:t>ial intelligence</w:t>
      </w:r>
      <w:r w:rsidR="00E356D9" w:rsidRPr="00022CC7">
        <w:rPr>
          <w:rFonts w:cstheme="minorHAnsi"/>
        </w:rPr>
        <w:t>.</w:t>
      </w:r>
      <w:r w:rsidR="000527B3" w:rsidRPr="00022CC7">
        <w:rPr>
          <w:rFonts w:cstheme="minorHAnsi"/>
        </w:rPr>
        <w:t xml:space="preserve"> </w:t>
      </w:r>
    </w:p>
    <w:p w14:paraId="75FA50B5" w14:textId="48393FB2" w:rsidR="00796CC2" w:rsidRPr="00022CC7" w:rsidRDefault="00796CC2" w:rsidP="00796CC2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The implications of the devolution of employment and skills functions </w:t>
      </w:r>
      <w:r w:rsidR="0008085B">
        <w:rPr>
          <w:rFonts w:cstheme="minorHAnsi"/>
        </w:rPr>
        <w:t xml:space="preserve">(including skills bootcamps) </w:t>
      </w:r>
      <w:r>
        <w:rPr>
          <w:rFonts w:cstheme="minorHAnsi"/>
        </w:rPr>
        <w:t>from central government to Cheshire and Warrington</w:t>
      </w:r>
    </w:p>
    <w:p w14:paraId="39611C42" w14:textId="1903F241" w:rsidR="00356F59" w:rsidRDefault="006A6BBA" w:rsidP="00022CC7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Identification of existing good practice where interventions and investments have achieved </w:t>
      </w:r>
      <w:r w:rsidR="00787EF5">
        <w:rPr>
          <w:rFonts w:cstheme="minorHAnsi"/>
        </w:rPr>
        <w:t xml:space="preserve">real </w:t>
      </w:r>
      <w:r w:rsidR="00896AEC">
        <w:rPr>
          <w:rFonts w:cstheme="minorHAnsi"/>
        </w:rPr>
        <w:t xml:space="preserve">and significant </w:t>
      </w:r>
      <w:r w:rsidR="00787EF5">
        <w:rPr>
          <w:rFonts w:cstheme="minorHAnsi"/>
        </w:rPr>
        <w:t xml:space="preserve">impact and measurable outcomes </w:t>
      </w:r>
      <w:r w:rsidR="00896AEC">
        <w:rPr>
          <w:rFonts w:cstheme="minorHAnsi"/>
        </w:rPr>
        <w:t>for individuals, local employers and the wider economy</w:t>
      </w:r>
      <w:r w:rsidR="00FD60E6">
        <w:rPr>
          <w:rFonts w:cstheme="minorHAnsi"/>
        </w:rPr>
        <w:t>.</w:t>
      </w:r>
    </w:p>
    <w:p w14:paraId="43EB24AD" w14:textId="09FB42AD" w:rsidR="00800529" w:rsidRDefault="00E356D9" w:rsidP="001246FC">
      <w:pPr>
        <w:spacing w:before="240"/>
        <w:rPr>
          <w:rFonts w:cstheme="minorHAnsi"/>
        </w:rPr>
      </w:pPr>
      <w:r w:rsidRPr="00BF2245">
        <w:rPr>
          <w:rFonts w:cstheme="minorHAnsi"/>
        </w:rPr>
        <w:t xml:space="preserve">The work will need to draw on </w:t>
      </w:r>
      <w:r w:rsidR="009B2E74">
        <w:rPr>
          <w:rFonts w:cstheme="minorHAnsi"/>
        </w:rPr>
        <w:t xml:space="preserve">various data sources including </w:t>
      </w:r>
      <w:r w:rsidRPr="00BF2245">
        <w:rPr>
          <w:rFonts w:cstheme="minorHAnsi"/>
        </w:rPr>
        <w:t xml:space="preserve">the </w:t>
      </w:r>
      <w:r w:rsidR="0056298B">
        <w:rPr>
          <w:rFonts w:cstheme="minorHAnsi"/>
        </w:rPr>
        <w:t>data and labour market analysis produced by Department for Education and Department of Work and Pensions and Skills England.</w:t>
      </w:r>
    </w:p>
    <w:p w14:paraId="007B512C" w14:textId="3C11E0C9" w:rsidR="00BF2245" w:rsidRPr="00BF2245" w:rsidRDefault="00BF2245" w:rsidP="00121BAF">
      <w:pPr>
        <w:spacing w:after="0"/>
        <w:jc w:val="both"/>
        <w:rPr>
          <w:rFonts w:cstheme="minorHAnsi"/>
          <w:b/>
        </w:rPr>
      </w:pPr>
      <w:r w:rsidRPr="00BF2245">
        <w:rPr>
          <w:rFonts w:cstheme="minorHAnsi"/>
          <w:b/>
        </w:rPr>
        <w:t>4.</w:t>
      </w:r>
      <w:r w:rsidR="00AD5C46">
        <w:rPr>
          <w:rFonts w:cstheme="minorHAnsi"/>
          <w:b/>
        </w:rPr>
        <w:tab/>
      </w:r>
      <w:r w:rsidRPr="00BF2245">
        <w:rPr>
          <w:rFonts w:cstheme="minorHAnsi"/>
          <w:b/>
        </w:rPr>
        <w:t>Indicative Budget</w:t>
      </w:r>
    </w:p>
    <w:p w14:paraId="7F860644" w14:textId="39A4103F" w:rsidR="00BF2245" w:rsidRDefault="00BF2245" w:rsidP="00121BAF">
      <w:pPr>
        <w:spacing w:after="0"/>
        <w:jc w:val="both"/>
        <w:rPr>
          <w:rFonts w:cstheme="minorHAnsi"/>
          <w:bCs/>
        </w:rPr>
      </w:pPr>
      <w:r w:rsidRPr="00BF2245">
        <w:rPr>
          <w:rFonts w:cstheme="minorHAnsi"/>
          <w:bCs/>
        </w:rPr>
        <w:t>The indicative budget for this work is up to a maximum of £</w:t>
      </w:r>
      <w:r w:rsidR="00835B1D">
        <w:rPr>
          <w:rFonts w:cstheme="minorHAnsi"/>
          <w:bCs/>
        </w:rPr>
        <w:t>6</w:t>
      </w:r>
      <w:r w:rsidRPr="00BF2245">
        <w:rPr>
          <w:rFonts w:cstheme="minorHAnsi"/>
          <w:bCs/>
        </w:rPr>
        <w:t>0,000.</w:t>
      </w:r>
    </w:p>
    <w:p w14:paraId="48A725BE" w14:textId="77777777" w:rsidR="00121BAF" w:rsidRPr="00BF2245" w:rsidRDefault="00121BAF" w:rsidP="00121BAF">
      <w:pPr>
        <w:spacing w:after="0"/>
        <w:jc w:val="both"/>
        <w:rPr>
          <w:rFonts w:cstheme="minorHAnsi"/>
          <w:bCs/>
        </w:rPr>
      </w:pPr>
    </w:p>
    <w:p w14:paraId="02314D59" w14:textId="78FB3ACA" w:rsidR="00A96328" w:rsidRPr="00BF2245" w:rsidRDefault="00BF2245" w:rsidP="00121BAF">
      <w:pPr>
        <w:spacing w:after="0"/>
        <w:rPr>
          <w:rFonts w:cstheme="minorHAnsi"/>
          <w:b/>
          <w:bCs/>
        </w:rPr>
      </w:pPr>
      <w:r w:rsidRPr="00BF2245">
        <w:rPr>
          <w:rFonts w:cstheme="minorHAnsi"/>
          <w:b/>
          <w:bCs/>
        </w:rPr>
        <w:t>5.</w:t>
      </w:r>
      <w:r w:rsidRPr="00BF2245">
        <w:rPr>
          <w:rFonts w:cstheme="minorHAnsi"/>
          <w:b/>
          <w:bCs/>
        </w:rPr>
        <w:tab/>
      </w:r>
      <w:r w:rsidR="00A96328" w:rsidRPr="00BF2245">
        <w:rPr>
          <w:rFonts w:cstheme="minorHAnsi"/>
          <w:b/>
          <w:bCs/>
        </w:rPr>
        <w:t>Timescales</w:t>
      </w:r>
      <w:r w:rsidR="00D61D1F">
        <w:rPr>
          <w:rFonts w:cstheme="minorHAnsi"/>
          <w:b/>
          <w:bCs/>
        </w:rPr>
        <w:t xml:space="preserve"> </w:t>
      </w:r>
    </w:p>
    <w:p w14:paraId="387254D6" w14:textId="39C3F616" w:rsidR="00E6334D" w:rsidRPr="00BF2245" w:rsidRDefault="00E6334D" w:rsidP="00121BAF">
      <w:pPr>
        <w:spacing w:after="0"/>
        <w:jc w:val="both"/>
        <w:rPr>
          <w:rFonts w:cstheme="minorHAnsi"/>
          <w:bCs/>
        </w:rPr>
      </w:pPr>
      <w:r w:rsidRPr="00BF2245">
        <w:rPr>
          <w:rFonts w:cstheme="minorHAnsi"/>
          <w:bCs/>
        </w:rPr>
        <w:t>The following are the key milestones:</w:t>
      </w:r>
    </w:p>
    <w:p w14:paraId="38710EB9" w14:textId="5357FA93" w:rsidR="00A96328" w:rsidRPr="00BF2245" w:rsidRDefault="00A96328" w:rsidP="008F0EDB">
      <w:pPr>
        <w:pStyle w:val="ListParagraph"/>
        <w:numPr>
          <w:ilvl w:val="0"/>
          <w:numId w:val="2"/>
        </w:numPr>
        <w:ind w:left="851" w:hanging="284"/>
        <w:jc w:val="both"/>
        <w:rPr>
          <w:rFonts w:cstheme="minorHAnsi"/>
        </w:rPr>
      </w:pPr>
      <w:r w:rsidRPr="00BF2245">
        <w:rPr>
          <w:rFonts w:cstheme="minorHAnsi"/>
        </w:rPr>
        <w:t>Issue brief for procurement</w:t>
      </w:r>
      <w:r w:rsidR="00E6334D" w:rsidRPr="00BF2245">
        <w:rPr>
          <w:rFonts w:cstheme="minorHAnsi"/>
        </w:rPr>
        <w:t xml:space="preserve"> by </w:t>
      </w:r>
      <w:r w:rsidR="00E6334D" w:rsidRPr="00E16923">
        <w:rPr>
          <w:rFonts w:cstheme="minorHAnsi"/>
          <w:b/>
          <w:bCs/>
          <w:i/>
          <w:iCs/>
        </w:rPr>
        <w:t xml:space="preserve">Friday </w:t>
      </w:r>
      <w:r w:rsidR="00E146CC">
        <w:rPr>
          <w:rFonts w:cstheme="minorHAnsi"/>
          <w:b/>
          <w:bCs/>
          <w:i/>
          <w:iCs/>
        </w:rPr>
        <w:t>12</w:t>
      </w:r>
      <w:r w:rsidR="00947D6D" w:rsidRPr="00E16923">
        <w:rPr>
          <w:rFonts w:cstheme="minorHAnsi"/>
          <w:b/>
          <w:bCs/>
          <w:i/>
          <w:iCs/>
        </w:rPr>
        <w:t xml:space="preserve"> September 2025</w:t>
      </w:r>
      <w:r w:rsidR="00947D6D">
        <w:rPr>
          <w:rFonts w:cstheme="minorHAnsi"/>
        </w:rPr>
        <w:t xml:space="preserve"> </w:t>
      </w:r>
    </w:p>
    <w:p w14:paraId="644E9C4F" w14:textId="241ABABE" w:rsidR="00A96328" w:rsidRPr="00BF2245" w:rsidRDefault="00A96328" w:rsidP="008F0EDB">
      <w:pPr>
        <w:pStyle w:val="ListParagraph"/>
        <w:numPr>
          <w:ilvl w:val="0"/>
          <w:numId w:val="2"/>
        </w:numPr>
        <w:ind w:left="851" w:hanging="284"/>
        <w:jc w:val="both"/>
        <w:rPr>
          <w:rFonts w:cstheme="minorHAnsi"/>
        </w:rPr>
      </w:pPr>
      <w:r w:rsidRPr="00BF2245">
        <w:rPr>
          <w:rFonts w:cstheme="minorHAnsi"/>
        </w:rPr>
        <w:t>Deadline for submissions</w:t>
      </w:r>
      <w:r w:rsidR="005E3371">
        <w:rPr>
          <w:rFonts w:cstheme="minorHAnsi"/>
        </w:rPr>
        <w:t xml:space="preserve"> (</w:t>
      </w:r>
      <w:r w:rsidR="00E8020F">
        <w:rPr>
          <w:rFonts w:cstheme="minorHAnsi"/>
        </w:rPr>
        <w:t>3</w:t>
      </w:r>
      <w:r w:rsidR="005E3371">
        <w:rPr>
          <w:rFonts w:cstheme="minorHAnsi"/>
        </w:rPr>
        <w:t xml:space="preserve"> weeks </w:t>
      </w:r>
      <w:r w:rsidR="00FD006B">
        <w:rPr>
          <w:rFonts w:cstheme="minorHAnsi"/>
        </w:rPr>
        <w:t>after brief is issued)</w:t>
      </w:r>
      <w:r w:rsidR="00E6334D" w:rsidRPr="00BF2245">
        <w:rPr>
          <w:rFonts w:cstheme="minorHAnsi"/>
        </w:rPr>
        <w:t xml:space="preserve"> – </w:t>
      </w:r>
      <w:r w:rsidR="00E6334D" w:rsidRPr="00B07661">
        <w:rPr>
          <w:rFonts w:cstheme="minorHAnsi"/>
          <w:b/>
          <w:bCs/>
          <w:i/>
          <w:iCs/>
        </w:rPr>
        <w:t xml:space="preserve">Friday </w:t>
      </w:r>
      <w:r w:rsidR="00E8020F">
        <w:rPr>
          <w:rFonts w:cstheme="minorHAnsi"/>
          <w:b/>
          <w:bCs/>
          <w:i/>
          <w:iCs/>
        </w:rPr>
        <w:t>3 October</w:t>
      </w:r>
      <w:r w:rsidR="00947D6D" w:rsidRPr="00B07661">
        <w:rPr>
          <w:rFonts w:cstheme="minorHAnsi"/>
          <w:b/>
          <w:bCs/>
          <w:i/>
          <w:iCs/>
        </w:rPr>
        <w:t xml:space="preserve"> 2025</w:t>
      </w:r>
      <w:r w:rsidR="00947D6D">
        <w:rPr>
          <w:rFonts w:cstheme="minorHAnsi"/>
        </w:rPr>
        <w:t xml:space="preserve"> </w:t>
      </w:r>
    </w:p>
    <w:p w14:paraId="4F094A2E" w14:textId="2ACB747C" w:rsidR="00A96328" w:rsidRPr="00BF2245" w:rsidRDefault="00A96328" w:rsidP="008F0EDB">
      <w:pPr>
        <w:pStyle w:val="ListParagraph"/>
        <w:numPr>
          <w:ilvl w:val="0"/>
          <w:numId w:val="2"/>
        </w:numPr>
        <w:ind w:left="851" w:hanging="284"/>
        <w:jc w:val="both"/>
        <w:rPr>
          <w:rFonts w:cstheme="minorHAnsi"/>
        </w:rPr>
      </w:pPr>
      <w:r w:rsidRPr="00BF2245">
        <w:rPr>
          <w:rFonts w:cstheme="minorHAnsi"/>
        </w:rPr>
        <w:t xml:space="preserve">Appointment of consultant </w:t>
      </w:r>
      <w:r w:rsidR="00FD006B">
        <w:rPr>
          <w:rFonts w:cstheme="minorHAnsi"/>
        </w:rPr>
        <w:t xml:space="preserve">(1 week after </w:t>
      </w:r>
      <w:r w:rsidR="008A7210">
        <w:rPr>
          <w:rFonts w:cstheme="minorHAnsi"/>
        </w:rPr>
        <w:t>submissions received)</w:t>
      </w:r>
      <w:r w:rsidR="00FD006B">
        <w:rPr>
          <w:rFonts w:cstheme="minorHAnsi"/>
        </w:rPr>
        <w:t xml:space="preserve"> </w:t>
      </w:r>
      <w:r w:rsidRPr="00BF2245">
        <w:rPr>
          <w:rFonts w:cstheme="minorHAnsi"/>
        </w:rPr>
        <w:t xml:space="preserve">– </w:t>
      </w:r>
      <w:r w:rsidR="00936244" w:rsidRPr="00936244">
        <w:rPr>
          <w:rFonts w:cstheme="minorHAnsi"/>
          <w:b/>
          <w:bCs/>
        </w:rPr>
        <w:t>Friday</w:t>
      </w:r>
      <w:r w:rsidR="00936244">
        <w:rPr>
          <w:rFonts w:cstheme="minorHAnsi"/>
        </w:rPr>
        <w:t xml:space="preserve"> </w:t>
      </w:r>
      <w:r w:rsidR="00936244" w:rsidRPr="00936244">
        <w:rPr>
          <w:rFonts w:cstheme="minorHAnsi"/>
          <w:b/>
          <w:bCs/>
        </w:rPr>
        <w:t>10 Octob</w:t>
      </w:r>
      <w:r w:rsidR="002274B3" w:rsidRPr="00936244">
        <w:rPr>
          <w:rFonts w:cstheme="minorHAnsi"/>
          <w:b/>
          <w:bCs/>
          <w:i/>
          <w:iCs/>
        </w:rPr>
        <w:t>er 2025</w:t>
      </w:r>
      <w:r w:rsidR="002274B3">
        <w:rPr>
          <w:rFonts w:cstheme="minorHAnsi"/>
        </w:rPr>
        <w:t xml:space="preserve"> </w:t>
      </w:r>
    </w:p>
    <w:p w14:paraId="326FA2CD" w14:textId="22599513" w:rsidR="00A96328" w:rsidRPr="00BF2245" w:rsidRDefault="00A96328" w:rsidP="008F0EDB">
      <w:pPr>
        <w:pStyle w:val="ListParagraph"/>
        <w:numPr>
          <w:ilvl w:val="0"/>
          <w:numId w:val="2"/>
        </w:numPr>
        <w:ind w:left="851" w:hanging="284"/>
        <w:jc w:val="both"/>
        <w:rPr>
          <w:rFonts w:cstheme="minorHAnsi"/>
        </w:rPr>
      </w:pPr>
      <w:r w:rsidRPr="00BF2245">
        <w:rPr>
          <w:rFonts w:cstheme="minorHAnsi"/>
        </w:rPr>
        <w:t>Inception meeting</w:t>
      </w:r>
      <w:r w:rsidR="00E6334D" w:rsidRPr="00BF2245">
        <w:rPr>
          <w:rFonts w:cstheme="minorHAnsi"/>
        </w:rPr>
        <w:t xml:space="preserve"> week commencing </w:t>
      </w:r>
      <w:r w:rsidR="00EE239A">
        <w:rPr>
          <w:rFonts w:cstheme="minorHAnsi"/>
        </w:rPr>
        <w:t xml:space="preserve">where scope of initial </w:t>
      </w:r>
      <w:r w:rsidR="003F6515">
        <w:rPr>
          <w:rFonts w:cstheme="minorHAnsi"/>
        </w:rPr>
        <w:t>piece of work will be s</w:t>
      </w:r>
      <w:r w:rsidR="00D73DF1">
        <w:rPr>
          <w:rFonts w:cstheme="minorHAnsi"/>
        </w:rPr>
        <w:t>e</w:t>
      </w:r>
      <w:r w:rsidR="003F6515">
        <w:rPr>
          <w:rFonts w:cstheme="minorHAnsi"/>
        </w:rPr>
        <w:t>t out</w:t>
      </w:r>
      <w:r w:rsidR="00D73DF1">
        <w:rPr>
          <w:rFonts w:cstheme="minorHAnsi"/>
        </w:rPr>
        <w:t xml:space="preserve"> </w:t>
      </w:r>
      <w:r w:rsidR="00E6334D" w:rsidRPr="00B07661">
        <w:rPr>
          <w:rFonts w:cstheme="minorHAnsi"/>
          <w:b/>
          <w:bCs/>
          <w:i/>
          <w:iCs/>
        </w:rPr>
        <w:t xml:space="preserve">Monday </w:t>
      </w:r>
      <w:r w:rsidR="007029BA">
        <w:rPr>
          <w:rFonts w:cstheme="minorHAnsi"/>
          <w:b/>
          <w:bCs/>
          <w:i/>
          <w:iCs/>
        </w:rPr>
        <w:t xml:space="preserve">13 October </w:t>
      </w:r>
      <w:r w:rsidR="00E16923" w:rsidRPr="00B07661">
        <w:rPr>
          <w:rFonts w:cstheme="minorHAnsi"/>
          <w:b/>
          <w:bCs/>
          <w:i/>
          <w:iCs/>
        </w:rPr>
        <w:t>2025</w:t>
      </w:r>
      <w:r w:rsidR="00E16923">
        <w:rPr>
          <w:rFonts w:cstheme="minorHAnsi"/>
        </w:rPr>
        <w:t xml:space="preserve"> </w:t>
      </w:r>
    </w:p>
    <w:p w14:paraId="59EB2218" w14:textId="0666EDE8" w:rsidR="001A1327" w:rsidRDefault="00C87CF3" w:rsidP="001A1327">
      <w:pPr>
        <w:pStyle w:val="ListParagraph"/>
        <w:numPr>
          <w:ilvl w:val="0"/>
          <w:numId w:val="2"/>
        </w:numPr>
        <w:ind w:left="851" w:hanging="284"/>
        <w:jc w:val="both"/>
        <w:rPr>
          <w:rFonts w:cstheme="minorHAnsi"/>
        </w:rPr>
      </w:pPr>
      <w:r>
        <w:rPr>
          <w:rFonts w:cstheme="minorHAnsi"/>
        </w:rPr>
        <w:t>Monthly r</w:t>
      </w:r>
      <w:r w:rsidR="007D0FBE" w:rsidRPr="00572A82">
        <w:rPr>
          <w:rFonts w:cstheme="minorHAnsi"/>
        </w:rPr>
        <w:t>eview</w:t>
      </w:r>
      <w:r>
        <w:rPr>
          <w:rFonts w:cstheme="minorHAnsi"/>
        </w:rPr>
        <w:t>s</w:t>
      </w:r>
      <w:r w:rsidR="007D0FBE" w:rsidRPr="00572A82">
        <w:rPr>
          <w:rFonts w:cstheme="minorHAnsi"/>
        </w:rPr>
        <w:t xml:space="preserve"> to be undertaken </w:t>
      </w:r>
      <w:r w:rsidR="001A1327">
        <w:rPr>
          <w:rFonts w:cstheme="minorHAnsi"/>
        </w:rPr>
        <w:t xml:space="preserve">to assess progress to date and agree timetable for further reports </w:t>
      </w:r>
    </w:p>
    <w:p w14:paraId="236CD03C" w14:textId="77777777" w:rsidR="008B0385" w:rsidRDefault="00E63E7E" w:rsidP="00AD5C46">
      <w:pPr>
        <w:spacing w:after="0"/>
        <w:jc w:val="both"/>
        <w:rPr>
          <w:rFonts w:cstheme="minorHAnsi"/>
        </w:rPr>
      </w:pPr>
      <w:r w:rsidRPr="00BF2245">
        <w:rPr>
          <w:rFonts w:cstheme="minorHAnsi"/>
        </w:rPr>
        <w:t xml:space="preserve">The contract is expected to run over a </w:t>
      </w:r>
      <w:r w:rsidR="00F9539B">
        <w:rPr>
          <w:rFonts w:cstheme="minorHAnsi"/>
        </w:rPr>
        <w:t>twelve-</w:t>
      </w:r>
      <w:r w:rsidRPr="00BF2245">
        <w:rPr>
          <w:rFonts w:cstheme="minorHAnsi"/>
        </w:rPr>
        <w:t xml:space="preserve">month period to enable regular review and feedback from </w:t>
      </w:r>
      <w:r w:rsidR="0086467B">
        <w:rPr>
          <w:rFonts w:cstheme="minorHAnsi"/>
        </w:rPr>
        <w:t xml:space="preserve">key partners including </w:t>
      </w:r>
      <w:r w:rsidRPr="00BF2245">
        <w:rPr>
          <w:rFonts w:cstheme="minorHAnsi"/>
        </w:rPr>
        <w:t xml:space="preserve">the Data and Labour Market Steering Group to help shape the </w:t>
      </w:r>
      <w:r w:rsidR="00F9539B">
        <w:rPr>
          <w:rFonts w:cstheme="minorHAnsi"/>
        </w:rPr>
        <w:t>work programme and final r</w:t>
      </w:r>
      <w:r w:rsidRPr="00BF2245">
        <w:rPr>
          <w:rFonts w:cstheme="minorHAnsi"/>
        </w:rPr>
        <w:t>eport</w:t>
      </w:r>
      <w:r w:rsidR="00F9539B">
        <w:rPr>
          <w:rFonts w:cstheme="minorHAnsi"/>
        </w:rPr>
        <w:t>s</w:t>
      </w:r>
      <w:r w:rsidRPr="00BF2245">
        <w:rPr>
          <w:rFonts w:cstheme="minorHAnsi"/>
        </w:rPr>
        <w:t xml:space="preserve">.  </w:t>
      </w:r>
    </w:p>
    <w:p w14:paraId="0251B42E" w14:textId="77777777" w:rsidR="008B0385" w:rsidRDefault="008B0385" w:rsidP="00AD5C46">
      <w:pPr>
        <w:spacing w:after="0"/>
        <w:jc w:val="both"/>
        <w:rPr>
          <w:rFonts w:cstheme="minorHAnsi"/>
        </w:rPr>
      </w:pPr>
    </w:p>
    <w:p w14:paraId="605E18DE" w14:textId="207D4F23" w:rsidR="00E63E7E" w:rsidRPr="00BF2245" w:rsidRDefault="00E63E7E" w:rsidP="00AD5C46">
      <w:pPr>
        <w:spacing w:after="0"/>
        <w:jc w:val="both"/>
        <w:rPr>
          <w:rFonts w:cstheme="minorHAnsi"/>
        </w:rPr>
      </w:pPr>
      <w:r w:rsidRPr="00BF2245">
        <w:rPr>
          <w:rFonts w:cstheme="minorHAnsi"/>
        </w:rPr>
        <w:t>The following are key meetings to be attended during the period of the contract</w:t>
      </w:r>
      <w:r w:rsidR="006E32EC" w:rsidRPr="00BF2245">
        <w:rPr>
          <w:rFonts w:cstheme="minorHAnsi"/>
        </w:rPr>
        <w:t xml:space="preserve"> where the consultant will present emerging findings and associated key issues requiring further investigation</w:t>
      </w:r>
      <w:r w:rsidRPr="00BF2245">
        <w:rPr>
          <w:rFonts w:cstheme="minorHAnsi"/>
        </w:rPr>
        <w:t>:</w:t>
      </w:r>
    </w:p>
    <w:p w14:paraId="4D6FD8DA" w14:textId="4114351E" w:rsidR="00E63E7E" w:rsidRPr="00BF2245" w:rsidRDefault="008B0385" w:rsidP="00AD5C46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Regular </w:t>
      </w:r>
      <w:r w:rsidR="00E63E7E" w:rsidRPr="00BF2245">
        <w:rPr>
          <w:rFonts w:cstheme="minorHAnsi"/>
        </w:rPr>
        <w:t>review meetings with</w:t>
      </w:r>
      <w:r w:rsidR="00DA524F">
        <w:rPr>
          <w:rFonts w:cstheme="minorHAnsi"/>
        </w:rPr>
        <w:t xml:space="preserve"> ECW </w:t>
      </w:r>
    </w:p>
    <w:p w14:paraId="13E77FEB" w14:textId="51DEA86C" w:rsidR="00E63E7E" w:rsidRDefault="00707DD5" w:rsidP="006E32EC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 xml:space="preserve">Regular meetings with the Workforce and Economic Recovery Group and the </w:t>
      </w:r>
      <w:r w:rsidR="00E63E7E" w:rsidRPr="00BF2245">
        <w:rPr>
          <w:rFonts w:cstheme="minorHAnsi"/>
        </w:rPr>
        <w:t xml:space="preserve">Data and Labour Market Steering Group </w:t>
      </w:r>
    </w:p>
    <w:p w14:paraId="008910B5" w14:textId="3F6523E8" w:rsidR="00056AA5" w:rsidRDefault="00056AA5" w:rsidP="006E32EC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Meetings as required with key partners</w:t>
      </w:r>
      <w:r w:rsidR="0025723F">
        <w:rPr>
          <w:rFonts w:cstheme="minorHAnsi"/>
        </w:rPr>
        <w:t xml:space="preserve"> to be agreed with ECW</w:t>
      </w:r>
    </w:p>
    <w:p w14:paraId="0E0B39C1" w14:textId="222546C2" w:rsidR="00A96328" w:rsidRPr="00BF2245" w:rsidRDefault="007873C5" w:rsidP="00D65AFD">
      <w:pPr>
        <w:spacing w:before="240"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D65AFD" w:rsidRPr="00BF2245">
        <w:rPr>
          <w:rFonts w:cstheme="minorHAnsi"/>
          <w:b/>
        </w:rPr>
        <w:t>.</w:t>
      </w:r>
      <w:r w:rsidR="00597EAD">
        <w:rPr>
          <w:rFonts w:cstheme="minorHAnsi"/>
          <w:b/>
        </w:rPr>
        <w:tab/>
      </w:r>
      <w:r w:rsidR="00A96328" w:rsidRPr="00BF2245">
        <w:rPr>
          <w:rFonts w:cstheme="minorHAnsi"/>
          <w:b/>
        </w:rPr>
        <w:t>Submission requirements</w:t>
      </w:r>
    </w:p>
    <w:p w14:paraId="5FB3649F" w14:textId="77777777" w:rsidR="00A96328" w:rsidRPr="00BF2245" w:rsidRDefault="00A96328" w:rsidP="00BF2245">
      <w:pPr>
        <w:spacing w:after="0"/>
        <w:jc w:val="both"/>
        <w:rPr>
          <w:rFonts w:cstheme="minorHAnsi"/>
        </w:rPr>
      </w:pPr>
      <w:r w:rsidRPr="00BF2245">
        <w:rPr>
          <w:rFonts w:cstheme="minorHAnsi"/>
        </w:rPr>
        <w:t>Bidders are required to submit tenders in an electronic format (i.e. MS Word/PDF) setting out the following:</w:t>
      </w:r>
    </w:p>
    <w:p w14:paraId="00281ADB" w14:textId="77777777" w:rsidR="00A96328" w:rsidRPr="00BF2245" w:rsidRDefault="00A96328" w:rsidP="00BF2245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F2245">
        <w:rPr>
          <w:rFonts w:cstheme="minorHAnsi"/>
        </w:rPr>
        <w:t>Approach and methodology to the commission</w:t>
      </w:r>
    </w:p>
    <w:p w14:paraId="1D9AF709" w14:textId="71D37F95" w:rsidR="00A96328" w:rsidRPr="00BF2245" w:rsidRDefault="00A96328" w:rsidP="00BF2245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F2245">
        <w:rPr>
          <w:rFonts w:cstheme="minorHAnsi"/>
        </w:rPr>
        <w:lastRenderedPageBreak/>
        <w:t>Track record of undertaking similar commissions</w:t>
      </w:r>
    </w:p>
    <w:p w14:paraId="5D03E5F1" w14:textId="77777777" w:rsidR="00A96328" w:rsidRPr="00BF2245" w:rsidRDefault="00A96328" w:rsidP="00BF2245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BF2245">
        <w:rPr>
          <w:rFonts w:cstheme="minorHAnsi"/>
        </w:rPr>
        <w:t>The proposed consultancy team, their qualifications, expertise and relevant experience</w:t>
      </w:r>
    </w:p>
    <w:p w14:paraId="6DE9163D" w14:textId="1DB88DAF" w:rsidR="007873C5" w:rsidRDefault="00A96328" w:rsidP="007873C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BF2245">
        <w:rPr>
          <w:rFonts w:cstheme="minorHAnsi"/>
        </w:rPr>
        <w:t>A breakdown of costs by task and team member and disbursements</w:t>
      </w:r>
      <w:r w:rsidR="000E67D2" w:rsidRPr="00BF2245">
        <w:rPr>
          <w:rFonts w:cstheme="minorHAnsi"/>
        </w:rPr>
        <w:t xml:space="preserve">. </w:t>
      </w:r>
      <w:r w:rsidRPr="00BF2245">
        <w:rPr>
          <w:rFonts w:cstheme="minorHAnsi"/>
        </w:rPr>
        <w:t xml:space="preserve">Submissions should be sent via email to: </w:t>
      </w:r>
      <w:hyperlink r:id="rId10" w:tgtFrame="_blank" w:history="1">
        <w:r w:rsidR="007873C5">
          <w:rPr>
            <w:rStyle w:val="Hyperlink"/>
            <w:rFonts w:eastAsia="Times New Roman"/>
          </w:rPr>
          <w:t>tenders@cheshireandwarrington.com</w:t>
        </w:r>
      </w:hyperlink>
      <w:r w:rsidR="007873C5">
        <w:rPr>
          <w:rFonts w:eastAsia="Times New Roman"/>
          <w:color w:val="000000"/>
        </w:rPr>
        <w:t>.</w:t>
      </w:r>
    </w:p>
    <w:p w14:paraId="17AC070E" w14:textId="49292955" w:rsidR="00A96328" w:rsidRPr="00540C8A" w:rsidRDefault="00A96328" w:rsidP="00BF2245">
      <w:pPr>
        <w:jc w:val="both"/>
        <w:rPr>
          <w:rFonts w:cstheme="minorHAnsi"/>
          <w:b/>
          <w:bCs/>
          <w:i/>
          <w:iCs/>
        </w:rPr>
      </w:pPr>
      <w:r w:rsidRPr="00BF2245">
        <w:rPr>
          <w:rFonts w:cstheme="minorHAnsi"/>
        </w:rPr>
        <w:t>The deadline for</w:t>
      </w:r>
      <w:r w:rsidR="000E67D2" w:rsidRPr="00BF2245">
        <w:rPr>
          <w:rFonts w:cstheme="minorHAnsi"/>
        </w:rPr>
        <w:t xml:space="preserve"> </w:t>
      </w:r>
      <w:r w:rsidRPr="00BF2245">
        <w:rPr>
          <w:rFonts w:cstheme="minorHAnsi"/>
        </w:rPr>
        <w:t>submissions is</w:t>
      </w:r>
      <w:r w:rsidR="00E34E2E">
        <w:rPr>
          <w:rFonts w:cstheme="minorHAnsi"/>
        </w:rPr>
        <w:t xml:space="preserve"> </w:t>
      </w:r>
      <w:r w:rsidR="001246FC" w:rsidRPr="00540C8A">
        <w:rPr>
          <w:rFonts w:cstheme="minorHAnsi"/>
          <w:b/>
          <w:bCs/>
          <w:i/>
          <w:iCs/>
        </w:rPr>
        <w:t xml:space="preserve">Friday </w:t>
      </w:r>
      <w:r w:rsidR="00B037EB">
        <w:rPr>
          <w:rFonts w:cstheme="minorHAnsi"/>
          <w:b/>
          <w:bCs/>
          <w:i/>
          <w:iCs/>
        </w:rPr>
        <w:t xml:space="preserve">3 October </w:t>
      </w:r>
      <w:r w:rsidR="00E34E2E" w:rsidRPr="00540C8A">
        <w:rPr>
          <w:rFonts w:cstheme="minorHAnsi"/>
          <w:b/>
          <w:bCs/>
          <w:i/>
          <w:iCs/>
        </w:rPr>
        <w:t>2025</w:t>
      </w:r>
      <w:r w:rsidR="001246FC" w:rsidRPr="00540C8A">
        <w:rPr>
          <w:rFonts w:cstheme="minorHAnsi"/>
          <w:b/>
          <w:bCs/>
          <w:i/>
          <w:iCs/>
        </w:rPr>
        <w:t>.</w:t>
      </w:r>
    </w:p>
    <w:p w14:paraId="3D976B45" w14:textId="455F7BB4" w:rsidR="00A96328" w:rsidRPr="00BF2245" w:rsidRDefault="007873C5" w:rsidP="00D65AFD">
      <w:pPr>
        <w:spacing w:before="240" w:after="0"/>
        <w:rPr>
          <w:rFonts w:cstheme="minorHAnsi"/>
          <w:b/>
        </w:rPr>
      </w:pPr>
      <w:r>
        <w:rPr>
          <w:rFonts w:cstheme="minorHAnsi"/>
          <w:b/>
        </w:rPr>
        <w:t>7</w:t>
      </w:r>
      <w:r w:rsidR="00D65AFD" w:rsidRPr="00BF2245">
        <w:rPr>
          <w:rFonts w:cstheme="minorHAnsi"/>
          <w:b/>
        </w:rPr>
        <w:t>.</w:t>
      </w:r>
      <w:r w:rsidR="00597EAD">
        <w:rPr>
          <w:rFonts w:cstheme="minorHAnsi"/>
          <w:b/>
        </w:rPr>
        <w:tab/>
      </w:r>
      <w:r w:rsidR="00A96328" w:rsidRPr="00BF2245">
        <w:rPr>
          <w:rFonts w:cstheme="minorHAnsi"/>
          <w:b/>
        </w:rPr>
        <w:t>Evaluation of tenders</w:t>
      </w:r>
    </w:p>
    <w:p w14:paraId="705B4956" w14:textId="06A47820" w:rsidR="00EF11E7" w:rsidRPr="00BF2245" w:rsidRDefault="00EF11E7" w:rsidP="00BF2245">
      <w:pPr>
        <w:jc w:val="both"/>
        <w:rPr>
          <w:rFonts w:cstheme="minorHAnsi"/>
        </w:rPr>
      </w:pPr>
      <w:r w:rsidRPr="00BF2245">
        <w:rPr>
          <w:rFonts w:cstheme="minorHAnsi"/>
        </w:rPr>
        <w:t xml:space="preserve">Each proposal will be scored against the following evaluation questions, weighted as follows: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17"/>
        <w:gridCol w:w="952"/>
      </w:tblGrid>
      <w:tr w:rsidR="00EF11E7" w:rsidRPr="00BF2245" w14:paraId="2D1A7D8D" w14:textId="77777777" w:rsidTr="0074628D">
        <w:tc>
          <w:tcPr>
            <w:tcW w:w="8217" w:type="dxa"/>
          </w:tcPr>
          <w:p w14:paraId="26803DC5" w14:textId="54426117" w:rsidR="00EF11E7" w:rsidRPr="00BF2245" w:rsidRDefault="00EF11E7" w:rsidP="0074628D">
            <w:pPr>
              <w:rPr>
                <w:rFonts w:cstheme="minorHAnsi"/>
                <w:b/>
              </w:rPr>
            </w:pPr>
            <w:r w:rsidRPr="00BF2245">
              <w:rPr>
                <w:rFonts w:cstheme="minorHAnsi"/>
                <w:b/>
              </w:rPr>
              <w:t>Evaluation question</w:t>
            </w:r>
          </w:p>
        </w:tc>
        <w:tc>
          <w:tcPr>
            <w:tcW w:w="952" w:type="dxa"/>
          </w:tcPr>
          <w:p w14:paraId="20CE803E" w14:textId="77777777" w:rsidR="00EF11E7" w:rsidRPr="00BF2245" w:rsidRDefault="00EF11E7" w:rsidP="0074628D">
            <w:pPr>
              <w:jc w:val="center"/>
              <w:rPr>
                <w:rFonts w:cstheme="minorHAnsi"/>
                <w:b/>
              </w:rPr>
            </w:pPr>
            <w:r w:rsidRPr="00BF2245">
              <w:rPr>
                <w:rFonts w:cstheme="minorHAnsi"/>
                <w:b/>
              </w:rPr>
              <w:t>Score</w:t>
            </w:r>
          </w:p>
        </w:tc>
      </w:tr>
      <w:tr w:rsidR="00EF11E7" w:rsidRPr="00BF2245" w14:paraId="3057D076" w14:textId="77777777" w:rsidTr="0074628D">
        <w:tc>
          <w:tcPr>
            <w:tcW w:w="8217" w:type="dxa"/>
          </w:tcPr>
          <w:p w14:paraId="6C4F5872" w14:textId="6573F1B2" w:rsidR="00EF11E7" w:rsidRPr="00BF2245" w:rsidRDefault="00EF11E7" w:rsidP="0074628D">
            <w:pPr>
              <w:rPr>
                <w:rFonts w:cstheme="minorHAnsi"/>
              </w:rPr>
            </w:pPr>
            <w:r w:rsidRPr="00BF2245">
              <w:rPr>
                <w:rFonts w:cstheme="minorHAnsi"/>
              </w:rPr>
              <w:t>Proposed approach to the assignment</w:t>
            </w:r>
          </w:p>
        </w:tc>
        <w:tc>
          <w:tcPr>
            <w:tcW w:w="952" w:type="dxa"/>
          </w:tcPr>
          <w:p w14:paraId="3B00FF88" w14:textId="09F3FBFF" w:rsidR="00EF11E7" w:rsidRPr="00BF2245" w:rsidRDefault="00EF11E7" w:rsidP="0074628D">
            <w:pPr>
              <w:jc w:val="center"/>
              <w:rPr>
                <w:rFonts w:cstheme="minorHAnsi"/>
              </w:rPr>
            </w:pPr>
            <w:r w:rsidRPr="00BF2245">
              <w:rPr>
                <w:rFonts w:cstheme="minorHAnsi"/>
              </w:rPr>
              <w:t>20</w:t>
            </w:r>
          </w:p>
        </w:tc>
      </w:tr>
      <w:tr w:rsidR="00EF11E7" w:rsidRPr="00BF2245" w14:paraId="30992586" w14:textId="77777777" w:rsidTr="0074628D">
        <w:tc>
          <w:tcPr>
            <w:tcW w:w="8217" w:type="dxa"/>
          </w:tcPr>
          <w:p w14:paraId="33E5005B" w14:textId="5A90762B" w:rsidR="00EF11E7" w:rsidRPr="00BF2245" w:rsidRDefault="00EF11E7" w:rsidP="0074628D">
            <w:pPr>
              <w:rPr>
                <w:rFonts w:cstheme="minorHAnsi"/>
              </w:rPr>
            </w:pPr>
            <w:r w:rsidRPr="00BF2245">
              <w:rPr>
                <w:rFonts w:cstheme="minorHAnsi"/>
              </w:rPr>
              <w:t>Experience of delivering similar assignments</w:t>
            </w:r>
          </w:p>
        </w:tc>
        <w:tc>
          <w:tcPr>
            <w:tcW w:w="952" w:type="dxa"/>
          </w:tcPr>
          <w:p w14:paraId="734B7374" w14:textId="42507204" w:rsidR="00EF11E7" w:rsidRPr="00BF2245" w:rsidRDefault="00EF11E7" w:rsidP="0074628D">
            <w:pPr>
              <w:jc w:val="center"/>
              <w:rPr>
                <w:rFonts w:cstheme="minorHAnsi"/>
              </w:rPr>
            </w:pPr>
            <w:r w:rsidRPr="00BF2245">
              <w:rPr>
                <w:rFonts w:cstheme="minorHAnsi"/>
              </w:rPr>
              <w:t>30</w:t>
            </w:r>
          </w:p>
        </w:tc>
      </w:tr>
      <w:tr w:rsidR="00EF11E7" w:rsidRPr="00BF2245" w14:paraId="7CCBD020" w14:textId="77777777" w:rsidTr="0074628D">
        <w:tc>
          <w:tcPr>
            <w:tcW w:w="8217" w:type="dxa"/>
          </w:tcPr>
          <w:p w14:paraId="7E414D3C" w14:textId="65709053" w:rsidR="00EF11E7" w:rsidRPr="00BF2245" w:rsidRDefault="00EF11E7" w:rsidP="0074628D">
            <w:pPr>
              <w:rPr>
                <w:rFonts w:cstheme="minorHAnsi"/>
              </w:rPr>
            </w:pPr>
            <w:r w:rsidRPr="00BF2245">
              <w:rPr>
                <w:rFonts w:cstheme="minorHAnsi"/>
              </w:rPr>
              <w:t>Knowledge and expertise of staff</w:t>
            </w:r>
          </w:p>
        </w:tc>
        <w:tc>
          <w:tcPr>
            <w:tcW w:w="952" w:type="dxa"/>
          </w:tcPr>
          <w:p w14:paraId="2A3CE28C" w14:textId="718E55D9" w:rsidR="00EF11E7" w:rsidRPr="00BF2245" w:rsidRDefault="00EF11E7" w:rsidP="0074628D">
            <w:pPr>
              <w:jc w:val="center"/>
              <w:rPr>
                <w:rFonts w:cstheme="minorHAnsi"/>
              </w:rPr>
            </w:pPr>
            <w:r w:rsidRPr="00BF2245">
              <w:rPr>
                <w:rFonts w:cstheme="minorHAnsi"/>
              </w:rPr>
              <w:t>30</w:t>
            </w:r>
          </w:p>
        </w:tc>
      </w:tr>
      <w:tr w:rsidR="00EF11E7" w:rsidRPr="00BF2245" w14:paraId="7893AA1B" w14:textId="77777777" w:rsidTr="0074628D">
        <w:tc>
          <w:tcPr>
            <w:tcW w:w="8217" w:type="dxa"/>
          </w:tcPr>
          <w:p w14:paraId="31FC4F77" w14:textId="609FF19D" w:rsidR="00EF11E7" w:rsidRPr="00BF2245" w:rsidRDefault="00EF11E7" w:rsidP="0074628D">
            <w:pPr>
              <w:rPr>
                <w:rFonts w:cstheme="minorHAnsi"/>
              </w:rPr>
            </w:pPr>
            <w:r w:rsidRPr="00BF2245">
              <w:rPr>
                <w:rFonts w:cstheme="minorHAnsi"/>
              </w:rPr>
              <w:t>Price</w:t>
            </w:r>
          </w:p>
        </w:tc>
        <w:tc>
          <w:tcPr>
            <w:tcW w:w="952" w:type="dxa"/>
          </w:tcPr>
          <w:p w14:paraId="37815B2D" w14:textId="60A42962" w:rsidR="00EF11E7" w:rsidRPr="00BF2245" w:rsidRDefault="00EF11E7" w:rsidP="0074628D">
            <w:pPr>
              <w:jc w:val="center"/>
              <w:rPr>
                <w:rFonts w:cstheme="minorHAnsi"/>
              </w:rPr>
            </w:pPr>
            <w:r w:rsidRPr="00BF2245">
              <w:rPr>
                <w:rFonts w:cstheme="minorHAnsi"/>
              </w:rPr>
              <w:t>20</w:t>
            </w:r>
          </w:p>
        </w:tc>
      </w:tr>
      <w:tr w:rsidR="00EF11E7" w:rsidRPr="00BF2245" w14:paraId="18E01752" w14:textId="77777777" w:rsidTr="0074628D">
        <w:tc>
          <w:tcPr>
            <w:tcW w:w="8217" w:type="dxa"/>
          </w:tcPr>
          <w:p w14:paraId="53F1C911" w14:textId="1BF3B4E8" w:rsidR="00EF11E7" w:rsidRPr="00BF2245" w:rsidRDefault="00EF11E7" w:rsidP="0074628D">
            <w:pPr>
              <w:rPr>
                <w:rFonts w:cstheme="minorHAnsi"/>
                <w:b/>
              </w:rPr>
            </w:pPr>
            <w:r w:rsidRPr="00BF2245">
              <w:rPr>
                <w:rFonts w:cstheme="minorHAnsi"/>
                <w:b/>
              </w:rPr>
              <w:t>Total</w:t>
            </w:r>
          </w:p>
        </w:tc>
        <w:tc>
          <w:tcPr>
            <w:tcW w:w="952" w:type="dxa"/>
          </w:tcPr>
          <w:p w14:paraId="7DBB635E" w14:textId="4E6D5122" w:rsidR="00EF11E7" w:rsidRPr="00BF2245" w:rsidRDefault="00EF11E7" w:rsidP="0074628D">
            <w:pPr>
              <w:jc w:val="center"/>
              <w:rPr>
                <w:rFonts w:cstheme="minorHAnsi"/>
                <w:b/>
              </w:rPr>
            </w:pPr>
            <w:r w:rsidRPr="00BF2245">
              <w:rPr>
                <w:rFonts w:cstheme="minorHAnsi"/>
                <w:b/>
              </w:rPr>
              <w:t>100</w:t>
            </w:r>
          </w:p>
        </w:tc>
      </w:tr>
    </w:tbl>
    <w:p w14:paraId="74FAFEF8" w14:textId="216DC220" w:rsidR="00A96328" w:rsidRPr="00BF2245" w:rsidRDefault="00EF11E7" w:rsidP="00BF2245">
      <w:pPr>
        <w:spacing w:before="240"/>
        <w:rPr>
          <w:rFonts w:cstheme="minorHAnsi"/>
        </w:rPr>
      </w:pPr>
      <w:r w:rsidRPr="00BF2245">
        <w:rPr>
          <w:rFonts w:cstheme="minorHAnsi"/>
        </w:rPr>
        <w:t>Each evaluation question</w:t>
      </w:r>
      <w:r w:rsidR="00A96328" w:rsidRPr="00BF2245">
        <w:rPr>
          <w:rFonts w:cstheme="minorHAnsi"/>
        </w:rPr>
        <w:t xml:space="preserve"> will be scored </w:t>
      </w:r>
      <w:r w:rsidRPr="00BF2245">
        <w:rPr>
          <w:rFonts w:cstheme="minorHAnsi"/>
        </w:rPr>
        <w:t>using the following scoring</w:t>
      </w:r>
      <w:r w:rsidR="00A96328" w:rsidRPr="00BF2245">
        <w:rPr>
          <w:rFonts w:cstheme="minorHAnsi"/>
        </w:rPr>
        <w:t xml:space="preserve"> criteria</w:t>
      </w:r>
      <w:r w:rsidRPr="00BF2245">
        <w:rPr>
          <w:rFonts w:cstheme="minorHAnsi"/>
        </w:rPr>
        <w:t xml:space="preserve">: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17"/>
        <w:gridCol w:w="952"/>
      </w:tblGrid>
      <w:tr w:rsidR="00EF11E7" w:rsidRPr="00BF2245" w14:paraId="18507413" w14:textId="77777777" w:rsidTr="00EF11E7">
        <w:tc>
          <w:tcPr>
            <w:tcW w:w="8217" w:type="dxa"/>
          </w:tcPr>
          <w:p w14:paraId="389A96D5" w14:textId="7D7CF03C" w:rsidR="00EF11E7" w:rsidRPr="00BF2245" w:rsidRDefault="00EF11E7" w:rsidP="000E67D2">
            <w:pPr>
              <w:rPr>
                <w:rFonts w:cstheme="minorHAnsi"/>
                <w:b/>
              </w:rPr>
            </w:pPr>
            <w:bookmarkStart w:id="0" w:name="_Hlk509851737"/>
            <w:r w:rsidRPr="00BF2245">
              <w:rPr>
                <w:rFonts w:cstheme="minorHAnsi"/>
                <w:b/>
              </w:rPr>
              <w:t>Scoring criteria</w:t>
            </w:r>
          </w:p>
        </w:tc>
        <w:tc>
          <w:tcPr>
            <w:tcW w:w="952" w:type="dxa"/>
          </w:tcPr>
          <w:p w14:paraId="1D992C98" w14:textId="7F89501E" w:rsidR="00EF11E7" w:rsidRPr="00BF2245" w:rsidRDefault="00EF11E7" w:rsidP="00EF11E7">
            <w:pPr>
              <w:jc w:val="center"/>
              <w:rPr>
                <w:rFonts w:cstheme="minorHAnsi"/>
                <w:b/>
              </w:rPr>
            </w:pPr>
            <w:r w:rsidRPr="00BF2245">
              <w:rPr>
                <w:rFonts w:cstheme="minorHAnsi"/>
                <w:b/>
              </w:rPr>
              <w:t>Score</w:t>
            </w:r>
          </w:p>
        </w:tc>
      </w:tr>
      <w:tr w:rsidR="00EF11E7" w:rsidRPr="00BF2245" w14:paraId="65C1A5FA" w14:textId="77777777" w:rsidTr="00EF11E7">
        <w:tc>
          <w:tcPr>
            <w:tcW w:w="8217" w:type="dxa"/>
          </w:tcPr>
          <w:p w14:paraId="6181C0DC" w14:textId="4CB015EC" w:rsidR="00EF11E7" w:rsidRPr="00BF2245" w:rsidRDefault="00EF11E7" w:rsidP="000E67D2">
            <w:pPr>
              <w:rPr>
                <w:rFonts w:cstheme="minorHAnsi"/>
              </w:rPr>
            </w:pPr>
            <w:r w:rsidRPr="00BF2245">
              <w:rPr>
                <w:rFonts w:cstheme="minorHAnsi"/>
              </w:rPr>
              <w:t>Failure to respond or irrelevant information which fails to meet the requirement</w:t>
            </w:r>
          </w:p>
        </w:tc>
        <w:tc>
          <w:tcPr>
            <w:tcW w:w="952" w:type="dxa"/>
          </w:tcPr>
          <w:p w14:paraId="49D0AE75" w14:textId="2656FC0F" w:rsidR="00EF11E7" w:rsidRPr="00BF2245" w:rsidRDefault="00EF11E7" w:rsidP="00EF11E7">
            <w:pPr>
              <w:jc w:val="center"/>
              <w:rPr>
                <w:rFonts w:cstheme="minorHAnsi"/>
              </w:rPr>
            </w:pPr>
            <w:r w:rsidRPr="00BF2245">
              <w:rPr>
                <w:rFonts w:cstheme="minorHAnsi"/>
              </w:rPr>
              <w:t>0</w:t>
            </w:r>
          </w:p>
        </w:tc>
      </w:tr>
      <w:tr w:rsidR="00EF11E7" w:rsidRPr="00BF2245" w14:paraId="1AC2FA3A" w14:textId="77777777" w:rsidTr="00EF11E7">
        <w:tc>
          <w:tcPr>
            <w:tcW w:w="8217" w:type="dxa"/>
          </w:tcPr>
          <w:p w14:paraId="5109621A" w14:textId="1A45DBF3" w:rsidR="00EF11E7" w:rsidRPr="00BF2245" w:rsidRDefault="00EF11E7" w:rsidP="000E67D2">
            <w:pPr>
              <w:rPr>
                <w:rFonts w:cstheme="minorHAnsi"/>
              </w:rPr>
            </w:pPr>
            <w:r w:rsidRPr="00BF2245">
              <w:rPr>
                <w:rFonts w:cstheme="minorHAnsi"/>
              </w:rPr>
              <w:t>Response is unsatisfactory partially meets the requirement</w:t>
            </w:r>
          </w:p>
        </w:tc>
        <w:tc>
          <w:tcPr>
            <w:tcW w:w="952" w:type="dxa"/>
          </w:tcPr>
          <w:p w14:paraId="70056A11" w14:textId="1C76663C" w:rsidR="00EF11E7" w:rsidRPr="00BF2245" w:rsidRDefault="00EF11E7" w:rsidP="00EF11E7">
            <w:pPr>
              <w:jc w:val="center"/>
              <w:rPr>
                <w:rFonts w:cstheme="minorHAnsi"/>
              </w:rPr>
            </w:pPr>
            <w:r w:rsidRPr="00BF2245">
              <w:rPr>
                <w:rFonts w:cstheme="minorHAnsi"/>
              </w:rPr>
              <w:t>2</w:t>
            </w:r>
          </w:p>
        </w:tc>
      </w:tr>
      <w:tr w:rsidR="00EF11E7" w:rsidRPr="00BF2245" w14:paraId="0A87D8BC" w14:textId="77777777" w:rsidTr="00EF11E7">
        <w:tc>
          <w:tcPr>
            <w:tcW w:w="8217" w:type="dxa"/>
          </w:tcPr>
          <w:p w14:paraId="450633D9" w14:textId="30C690DC" w:rsidR="00EF11E7" w:rsidRPr="00BF2245" w:rsidRDefault="00EF11E7" w:rsidP="000E67D2">
            <w:pPr>
              <w:rPr>
                <w:rFonts w:cstheme="minorHAnsi"/>
              </w:rPr>
            </w:pPr>
            <w:r w:rsidRPr="00BF2245">
              <w:rPr>
                <w:rFonts w:cstheme="minorHAnsi"/>
              </w:rPr>
              <w:t>Response is acceptable and meets the minimum requirement</w:t>
            </w:r>
          </w:p>
        </w:tc>
        <w:tc>
          <w:tcPr>
            <w:tcW w:w="952" w:type="dxa"/>
          </w:tcPr>
          <w:p w14:paraId="19FFEF31" w14:textId="053CDC6C" w:rsidR="00EF11E7" w:rsidRPr="00BF2245" w:rsidRDefault="00EF11E7" w:rsidP="00EF11E7">
            <w:pPr>
              <w:jc w:val="center"/>
              <w:rPr>
                <w:rFonts w:cstheme="minorHAnsi"/>
              </w:rPr>
            </w:pPr>
            <w:r w:rsidRPr="00BF2245">
              <w:rPr>
                <w:rFonts w:cstheme="minorHAnsi"/>
              </w:rPr>
              <w:t>3</w:t>
            </w:r>
          </w:p>
        </w:tc>
      </w:tr>
      <w:tr w:rsidR="00EF11E7" w:rsidRPr="00BF2245" w14:paraId="44F1DBFB" w14:textId="77777777" w:rsidTr="00EF11E7">
        <w:tc>
          <w:tcPr>
            <w:tcW w:w="8217" w:type="dxa"/>
          </w:tcPr>
          <w:p w14:paraId="1892650A" w14:textId="0513AB42" w:rsidR="00EF11E7" w:rsidRPr="00BF2245" w:rsidRDefault="00EF11E7" w:rsidP="000E67D2">
            <w:pPr>
              <w:rPr>
                <w:rFonts w:cstheme="minorHAnsi"/>
              </w:rPr>
            </w:pPr>
            <w:r w:rsidRPr="00BF2245">
              <w:rPr>
                <w:rFonts w:cstheme="minorHAnsi"/>
              </w:rPr>
              <w:t>Response is good - better than merely acceptable</w:t>
            </w:r>
          </w:p>
        </w:tc>
        <w:tc>
          <w:tcPr>
            <w:tcW w:w="952" w:type="dxa"/>
          </w:tcPr>
          <w:p w14:paraId="433AE1B6" w14:textId="0AE0DFCC" w:rsidR="00EF11E7" w:rsidRPr="00BF2245" w:rsidRDefault="00EF11E7" w:rsidP="00EF11E7">
            <w:pPr>
              <w:jc w:val="center"/>
              <w:rPr>
                <w:rFonts w:cstheme="minorHAnsi"/>
              </w:rPr>
            </w:pPr>
            <w:r w:rsidRPr="00BF2245">
              <w:rPr>
                <w:rFonts w:cstheme="minorHAnsi"/>
              </w:rPr>
              <w:t>4</w:t>
            </w:r>
          </w:p>
        </w:tc>
      </w:tr>
      <w:tr w:rsidR="00EF11E7" w:rsidRPr="00BF2245" w14:paraId="1294E1C1" w14:textId="77777777" w:rsidTr="00EF11E7">
        <w:tc>
          <w:tcPr>
            <w:tcW w:w="8217" w:type="dxa"/>
          </w:tcPr>
          <w:p w14:paraId="0D91165C" w14:textId="5E9DBC5F" w:rsidR="00EF11E7" w:rsidRPr="00BF2245" w:rsidRDefault="00EF11E7" w:rsidP="000E67D2">
            <w:pPr>
              <w:rPr>
                <w:rFonts w:cstheme="minorHAnsi"/>
              </w:rPr>
            </w:pPr>
            <w:r w:rsidRPr="00BF2245">
              <w:rPr>
                <w:rFonts w:cstheme="minorHAnsi"/>
              </w:rPr>
              <w:t>Response is excellent, exceeds the requirement and gives added value</w:t>
            </w:r>
          </w:p>
        </w:tc>
        <w:tc>
          <w:tcPr>
            <w:tcW w:w="952" w:type="dxa"/>
          </w:tcPr>
          <w:p w14:paraId="121389A9" w14:textId="6FF6504D" w:rsidR="00EF11E7" w:rsidRPr="00BF2245" w:rsidRDefault="00EF11E7" w:rsidP="00EF11E7">
            <w:pPr>
              <w:jc w:val="center"/>
              <w:rPr>
                <w:rFonts w:cstheme="minorHAnsi"/>
              </w:rPr>
            </w:pPr>
            <w:r w:rsidRPr="00BF2245">
              <w:rPr>
                <w:rFonts w:cstheme="minorHAnsi"/>
              </w:rPr>
              <w:t>5</w:t>
            </w:r>
          </w:p>
        </w:tc>
      </w:tr>
    </w:tbl>
    <w:bookmarkEnd w:id="0"/>
    <w:p w14:paraId="449A6AD1" w14:textId="4C0F1793" w:rsidR="00A96328" w:rsidRPr="00BF2245" w:rsidRDefault="007873C5" w:rsidP="00D65AFD">
      <w:pPr>
        <w:spacing w:before="240" w:after="0"/>
        <w:rPr>
          <w:rFonts w:cstheme="minorHAnsi"/>
          <w:b/>
        </w:rPr>
      </w:pPr>
      <w:r>
        <w:rPr>
          <w:rFonts w:cstheme="minorHAnsi"/>
          <w:b/>
        </w:rPr>
        <w:t>8</w:t>
      </w:r>
      <w:r w:rsidR="00D65AFD" w:rsidRPr="00BF2245">
        <w:rPr>
          <w:rFonts w:cstheme="minorHAnsi"/>
          <w:b/>
        </w:rPr>
        <w:t>.</w:t>
      </w:r>
      <w:r w:rsidR="00597EAD">
        <w:rPr>
          <w:rFonts w:cstheme="minorHAnsi"/>
          <w:b/>
        </w:rPr>
        <w:tab/>
      </w:r>
      <w:r w:rsidR="00A96328" w:rsidRPr="00BF2245">
        <w:rPr>
          <w:rFonts w:cstheme="minorHAnsi"/>
          <w:b/>
        </w:rPr>
        <w:t>Pricing</w:t>
      </w:r>
    </w:p>
    <w:p w14:paraId="34ADD9DA" w14:textId="77777777" w:rsidR="00D65AFD" w:rsidRPr="00BF2245" w:rsidRDefault="00A96328" w:rsidP="00BF2245">
      <w:pPr>
        <w:jc w:val="both"/>
        <w:rPr>
          <w:rFonts w:cstheme="minorHAnsi"/>
        </w:rPr>
      </w:pPr>
      <w:r w:rsidRPr="00BF2245">
        <w:rPr>
          <w:rFonts w:cstheme="minorHAnsi"/>
        </w:rPr>
        <w:t>All prices must be fixed and firm, quoted in pounds sterling and exclusive of VAT. Tenders should detail any ancillary costs and expenses included in the price.</w:t>
      </w:r>
    </w:p>
    <w:p w14:paraId="7B145583" w14:textId="2C23A3DB" w:rsidR="00A96328" w:rsidRPr="007873C5" w:rsidRDefault="007873C5" w:rsidP="007873C5">
      <w:pPr>
        <w:spacing w:before="240" w:after="0"/>
        <w:rPr>
          <w:rFonts w:cstheme="minorHAnsi"/>
          <w:b/>
        </w:rPr>
      </w:pPr>
      <w:r>
        <w:rPr>
          <w:rFonts w:cstheme="minorHAnsi"/>
          <w:b/>
        </w:rPr>
        <w:t>9.</w:t>
      </w:r>
      <w:r w:rsidR="00597EAD">
        <w:rPr>
          <w:rFonts w:cstheme="minorHAnsi"/>
          <w:b/>
        </w:rPr>
        <w:tab/>
      </w:r>
      <w:r w:rsidR="00A96328" w:rsidRPr="007873C5">
        <w:rPr>
          <w:rFonts w:cstheme="minorHAnsi"/>
          <w:b/>
        </w:rPr>
        <w:t xml:space="preserve">Financial arrangements </w:t>
      </w:r>
    </w:p>
    <w:p w14:paraId="5621759B" w14:textId="4C258B1B" w:rsidR="00A96328" w:rsidRPr="00BF2245" w:rsidRDefault="00A96328" w:rsidP="00BF2245">
      <w:pPr>
        <w:jc w:val="both"/>
        <w:rPr>
          <w:rFonts w:cstheme="minorHAnsi"/>
        </w:rPr>
      </w:pPr>
      <w:r w:rsidRPr="00BF2245">
        <w:rPr>
          <w:rFonts w:cstheme="minorHAnsi"/>
        </w:rPr>
        <w:t xml:space="preserve">Payments for services covered by this invitation to tender will be on submission of appropriate invoices, subject to </w:t>
      </w:r>
      <w:r w:rsidR="00F44E70">
        <w:rPr>
          <w:rFonts w:cstheme="minorHAnsi"/>
        </w:rPr>
        <w:t xml:space="preserve">ECW </w:t>
      </w:r>
      <w:r w:rsidRPr="00BF2245">
        <w:rPr>
          <w:rFonts w:cstheme="minorHAnsi"/>
        </w:rPr>
        <w:t>standard payment terms. Invoicing arrangements will be agreed with the successful provider following the award of the contract</w:t>
      </w:r>
    </w:p>
    <w:p w14:paraId="5CA98E41" w14:textId="3502CEC8" w:rsidR="00A96328" w:rsidRPr="00CD2C87" w:rsidRDefault="00CD2C87" w:rsidP="00CD2C87">
      <w:pPr>
        <w:spacing w:before="240" w:after="0"/>
        <w:rPr>
          <w:rFonts w:cstheme="minorHAnsi"/>
          <w:b/>
        </w:rPr>
      </w:pPr>
      <w:r>
        <w:rPr>
          <w:rFonts w:cstheme="minorHAnsi"/>
          <w:b/>
        </w:rPr>
        <w:t>10.</w:t>
      </w:r>
      <w:r>
        <w:rPr>
          <w:rFonts w:cstheme="minorHAnsi"/>
          <w:b/>
        </w:rPr>
        <w:tab/>
      </w:r>
      <w:r w:rsidR="00A96328" w:rsidRPr="00CD2C87">
        <w:rPr>
          <w:rFonts w:cstheme="minorHAnsi"/>
          <w:b/>
        </w:rPr>
        <w:t>Contract</w:t>
      </w:r>
    </w:p>
    <w:p w14:paraId="4D2ECD4B" w14:textId="77777777" w:rsidR="00A45E7B" w:rsidRDefault="00A96328" w:rsidP="00A45E7B">
      <w:pPr>
        <w:jc w:val="both"/>
        <w:rPr>
          <w:rFonts w:cstheme="minorHAnsi"/>
        </w:rPr>
      </w:pPr>
      <w:r w:rsidRPr="00BF2245">
        <w:rPr>
          <w:rFonts w:cstheme="minorHAnsi"/>
        </w:rPr>
        <w:t xml:space="preserve">A contract will be awarded to the tenderer whose proposal is deemed to be the most economically advantageous subject to agreement on conditions of that contract. Please note that </w:t>
      </w:r>
      <w:r w:rsidR="00F44E70">
        <w:rPr>
          <w:rFonts w:cstheme="minorHAnsi"/>
        </w:rPr>
        <w:t xml:space="preserve">ECW </w:t>
      </w:r>
      <w:r w:rsidRPr="00BF2245">
        <w:rPr>
          <w:rFonts w:cstheme="minorHAnsi"/>
        </w:rPr>
        <w:t xml:space="preserve">reserves the right to cancel the tender process at any time prior to a contract being entered into. </w:t>
      </w:r>
      <w:r w:rsidR="00E217BC">
        <w:rPr>
          <w:rFonts w:cstheme="minorHAnsi"/>
        </w:rPr>
        <w:t xml:space="preserve">ECW </w:t>
      </w:r>
      <w:r w:rsidRPr="00BF2245">
        <w:rPr>
          <w:rFonts w:cstheme="minorHAnsi"/>
        </w:rPr>
        <w:t>is not bound to accept the lowest price or any tender submitted.</w:t>
      </w:r>
    </w:p>
    <w:p w14:paraId="2E23A7C5" w14:textId="64F6ED51" w:rsidR="00A96328" w:rsidRPr="00A45E7B" w:rsidRDefault="00A45E7B" w:rsidP="00A45E7B">
      <w:pPr>
        <w:jc w:val="both"/>
        <w:rPr>
          <w:rFonts w:cstheme="minorHAnsi"/>
        </w:rPr>
      </w:pPr>
      <w:r>
        <w:rPr>
          <w:rFonts w:cstheme="minorHAnsi"/>
        </w:rPr>
        <w:t>11.</w:t>
      </w:r>
      <w:r>
        <w:rPr>
          <w:rFonts w:cstheme="minorHAnsi"/>
        </w:rPr>
        <w:tab/>
      </w:r>
      <w:r w:rsidR="00A96328" w:rsidRPr="00A45E7B">
        <w:rPr>
          <w:rFonts w:cstheme="minorHAnsi"/>
          <w:b/>
        </w:rPr>
        <w:t>Further information and queries</w:t>
      </w:r>
    </w:p>
    <w:p w14:paraId="28E802C4" w14:textId="36C82A49" w:rsidR="00A96328" w:rsidRPr="00BF2245" w:rsidRDefault="00A96328" w:rsidP="00BF2245">
      <w:pPr>
        <w:jc w:val="both"/>
        <w:rPr>
          <w:rFonts w:cstheme="minorHAnsi"/>
        </w:rPr>
      </w:pPr>
      <w:r w:rsidRPr="00BF2245">
        <w:rPr>
          <w:rFonts w:cstheme="minorHAnsi"/>
        </w:rPr>
        <w:t xml:space="preserve">If you require any clarifications relating to the information contained within this invitation to </w:t>
      </w:r>
      <w:proofErr w:type="gramStart"/>
      <w:r w:rsidRPr="00BF2245">
        <w:rPr>
          <w:rFonts w:cstheme="minorHAnsi"/>
        </w:rPr>
        <w:t>tender</w:t>
      </w:r>
      <w:proofErr w:type="gramEnd"/>
      <w:r w:rsidRPr="00BF2245">
        <w:rPr>
          <w:rFonts w:cstheme="minorHAnsi"/>
        </w:rPr>
        <w:t xml:space="preserve"> please contact </w:t>
      </w:r>
      <w:r w:rsidR="00D65AFD" w:rsidRPr="00BF2245">
        <w:rPr>
          <w:rFonts w:cstheme="minorHAnsi"/>
        </w:rPr>
        <w:t>Pat Jackson (</w:t>
      </w:r>
      <w:r w:rsidRPr="00BF2245">
        <w:rPr>
          <w:rFonts w:cstheme="minorHAnsi"/>
        </w:rPr>
        <w:t xml:space="preserve">contact details below) before </w:t>
      </w:r>
      <w:r w:rsidR="000E67D2" w:rsidRPr="00BF2245">
        <w:rPr>
          <w:rFonts w:cstheme="minorHAnsi"/>
          <w:b/>
          <w:u w:val="single"/>
        </w:rPr>
        <w:t>12:00 noon on</w:t>
      </w:r>
      <w:r w:rsidR="00BF2245" w:rsidRPr="00BF2245">
        <w:rPr>
          <w:rFonts w:cstheme="minorHAnsi"/>
          <w:b/>
          <w:u w:val="single"/>
        </w:rPr>
        <w:t xml:space="preserve"> </w:t>
      </w:r>
      <w:r w:rsidR="000311C2">
        <w:rPr>
          <w:rFonts w:cstheme="minorHAnsi"/>
          <w:b/>
          <w:u w:val="single"/>
        </w:rPr>
        <w:t xml:space="preserve">Monday </w:t>
      </w:r>
      <w:r w:rsidR="009260D8">
        <w:rPr>
          <w:rFonts w:cstheme="minorHAnsi"/>
          <w:b/>
          <w:u w:val="single"/>
        </w:rPr>
        <w:t>29</w:t>
      </w:r>
      <w:r w:rsidR="00F63C70">
        <w:rPr>
          <w:rFonts w:cstheme="minorHAnsi"/>
          <w:b/>
          <w:u w:val="single"/>
        </w:rPr>
        <w:t xml:space="preserve"> </w:t>
      </w:r>
      <w:r w:rsidR="004F6C2E">
        <w:rPr>
          <w:rFonts w:cstheme="minorHAnsi"/>
          <w:b/>
          <w:u w:val="single"/>
        </w:rPr>
        <w:t xml:space="preserve">September </w:t>
      </w:r>
      <w:r w:rsidR="00D65AFD" w:rsidRPr="00BF2245">
        <w:rPr>
          <w:rFonts w:cstheme="minorHAnsi"/>
          <w:b/>
          <w:u w:val="single"/>
        </w:rPr>
        <w:t>202</w:t>
      </w:r>
      <w:r w:rsidR="00412B6F">
        <w:rPr>
          <w:rFonts w:cstheme="minorHAnsi"/>
          <w:b/>
          <w:u w:val="single"/>
        </w:rPr>
        <w:t>5</w:t>
      </w:r>
      <w:r w:rsidRPr="00BF2245">
        <w:rPr>
          <w:rFonts w:cstheme="minorHAnsi"/>
        </w:rPr>
        <w:t xml:space="preserve">. Responses to requests for clarification may not materially change any of the elements of the tenders submitted. Any additional information provided by the </w:t>
      </w:r>
      <w:r w:rsidR="00AE3AA4">
        <w:rPr>
          <w:rFonts w:cstheme="minorHAnsi"/>
        </w:rPr>
        <w:t xml:space="preserve">ECW </w:t>
      </w:r>
      <w:r w:rsidRPr="00BF2245">
        <w:rPr>
          <w:rFonts w:cstheme="minorHAnsi"/>
        </w:rPr>
        <w:t xml:space="preserve">as a result of requests for clarification will be made available to all potential bidders via the </w:t>
      </w:r>
      <w:r w:rsidR="00FD38EA">
        <w:rPr>
          <w:rFonts w:cstheme="minorHAnsi"/>
        </w:rPr>
        <w:t xml:space="preserve">ECW </w:t>
      </w:r>
      <w:r w:rsidRPr="00BF2245">
        <w:rPr>
          <w:rFonts w:cstheme="minorHAnsi"/>
        </w:rPr>
        <w:t xml:space="preserve">website – </w:t>
      </w:r>
      <w:hyperlink r:id="rId11" w:history="1">
        <w:r w:rsidR="004C4B98" w:rsidRPr="004C4B98">
          <w:rPr>
            <w:color w:val="0000FF"/>
            <w:u w:val="single"/>
          </w:rPr>
          <w:t>Enterprise Cheshire and Warrington - Cheshire and Warrington</w:t>
        </w:r>
      </w:hyperlink>
    </w:p>
    <w:p w14:paraId="27246AD4" w14:textId="15AFC5DF" w:rsidR="00F754DD" w:rsidRPr="007873C5" w:rsidRDefault="00D65AFD" w:rsidP="00AD5C46">
      <w:pPr>
        <w:rPr>
          <w:rStyle w:val="Hyperlink"/>
          <w:color w:val="auto"/>
          <w:u w:val="none"/>
        </w:rPr>
      </w:pPr>
      <w:r w:rsidRPr="00AD5C46">
        <w:rPr>
          <w:rFonts w:cstheme="minorHAnsi"/>
        </w:rPr>
        <w:t xml:space="preserve">Pat Jackson </w:t>
      </w:r>
      <w:r w:rsidR="005F7AAB" w:rsidRPr="00AD5C46">
        <w:rPr>
          <w:rFonts w:cstheme="minorHAnsi"/>
        </w:rPr>
        <w:t>Tel</w:t>
      </w:r>
      <w:r w:rsidR="00BE4582" w:rsidRPr="00AD5C46">
        <w:rPr>
          <w:rFonts w:cstheme="minorHAnsi"/>
        </w:rPr>
        <w:t>:</w:t>
      </w:r>
      <w:r w:rsidRPr="00AD5C46">
        <w:rPr>
          <w:rFonts w:cstheme="minorHAnsi"/>
        </w:rPr>
        <w:t xml:space="preserve"> 07931804870</w:t>
      </w:r>
      <w:r w:rsidR="00BE4582" w:rsidRPr="00AD5C46">
        <w:rPr>
          <w:rFonts w:cstheme="minorHAnsi"/>
        </w:rPr>
        <w:t xml:space="preserve">.  </w:t>
      </w:r>
      <w:r w:rsidRPr="00AD5C46">
        <w:rPr>
          <w:rFonts w:cstheme="minorHAnsi"/>
        </w:rPr>
        <w:t>E</w:t>
      </w:r>
      <w:r w:rsidR="005F7AAB" w:rsidRPr="00AD5C46">
        <w:rPr>
          <w:rFonts w:cstheme="minorHAnsi"/>
        </w:rPr>
        <w:t>mail</w:t>
      </w:r>
      <w:r w:rsidR="00A96328" w:rsidRPr="00AD5C46">
        <w:rPr>
          <w:rFonts w:cstheme="minorHAnsi"/>
        </w:rPr>
        <w:t>:</w:t>
      </w:r>
      <w:r w:rsidR="005F7AAB" w:rsidRPr="00AD5C46">
        <w:rPr>
          <w:rFonts w:cstheme="minorHAnsi"/>
        </w:rPr>
        <w:t xml:space="preserve"> </w:t>
      </w:r>
      <w:hyperlink r:id="rId12" w:history="1">
        <w:r w:rsidR="00F754DD" w:rsidRPr="009D4978">
          <w:rPr>
            <w:rStyle w:val="Hyperlink"/>
          </w:rPr>
          <w:t>pat.jackson@cheshireandwarrington.com</w:t>
        </w:r>
      </w:hyperlink>
    </w:p>
    <w:sectPr w:rsidR="00F754DD" w:rsidRPr="007873C5" w:rsidSect="008D7AB0">
      <w:footerReference w:type="defaul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5F67" w14:textId="77777777" w:rsidR="006F1890" w:rsidRDefault="006F1890" w:rsidP="00EE092D">
      <w:pPr>
        <w:spacing w:after="0" w:line="240" w:lineRule="auto"/>
      </w:pPr>
      <w:r>
        <w:separator/>
      </w:r>
    </w:p>
  </w:endnote>
  <w:endnote w:type="continuationSeparator" w:id="0">
    <w:p w14:paraId="6A6D45C0" w14:textId="77777777" w:rsidR="006F1890" w:rsidRDefault="006F1890" w:rsidP="00EE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rope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80613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rPr>
            <w:rFonts w:asciiTheme="majorHAnsi" w:hAnsiTheme="majorHAnsi" w:cstheme="majorHAnsi"/>
          </w:rPr>
          <w:id w:val="490226105"/>
          <w:docPartObj>
            <w:docPartGallery w:val="Page Numbers (Top of Page)"/>
            <w:docPartUnique/>
          </w:docPartObj>
        </w:sdtPr>
        <w:sdtContent>
          <w:p w14:paraId="4E9363A1" w14:textId="2F3004F1" w:rsidR="008D7AB0" w:rsidRPr="008D7AB0" w:rsidRDefault="008D7AB0">
            <w:pPr>
              <w:pStyle w:val="Footer"/>
              <w:jc w:val="center"/>
              <w:rPr>
                <w:rFonts w:asciiTheme="majorHAnsi" w:hAnsiTheme="majorHAnsi" w:cstheme="majorHAnsi"/>
              </w:rPr>
            </w:pPr>
            <w:r w:rsidRPr="008D7AB0">
              <w:rPr>
                <w:rFonts w:asciiTheme="majorHAnsi" w:hAnsiTheme="majorHAnsi" w:cstheme="majorHAnsi"/>
              </w:rPr>
              <w:t xml:space="preserve">Page </w: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8D7AB0">
              <w:rPr>
                <w:rFonts w:asciiTheme="majorHAnsi" w:hAnsiTheme="majorHAnsi" w:cstheme="majorHAnsi"/>
                <w:bCs/>
              </w:rPr>
              <w:instrText xml:space="preserve"> PAGE </w:instrTex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="002D6409">
              <w:rPr>
                <w:rFonts w:asciiTheme="majorHAnsi" w:hAnsiTheme="majorHAnsi" w:cstheme="majorHAnsi"/>
                <w:bCs/>
                <w:noProof/>
              </w:rPr>
              <w:t>3</w: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  <w:r w:rsidRPr="008D7AB0">
              <w:rPr>
                <w:rFonts w:asciiTheme="majorHAnsi" w:hAnsiTheme="majorHAnsi" w:cstheme="majorHAnsi"/>
              </w:rPr>
              <w:t xml:space="preserve"> of </w: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8D7AB0">
              <w:rPr>
                <w:rFonts w:asciiTheme="majorHAnsi" w:hAnsiTheme="majorHAnsi" w:cstheme="majorHAnsi"/>
                <w:bCs/>
              </w:rPr>
              <w:instrText xml:space="preserve"> NUMPAGES  </w:instrTex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="002D6409">
              <w:rPr>
                <w:rFonts w:asciiTheme="majorHAnsi" w:hAnsiTheme="majorHAnsi" w:cstheme="majorHAnsi"/>
                <w:bCs/>
                <w:noProof/>
              </w:rPr>
              <w:t>3</w: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DD63E2" w14:textId="77777777" w:rsidR="008D7AB0" w:rsidRDefault="008D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159161848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36552AA1" w14:textId="3F717AB0" w:rsidR="008D7AB0" w:rsidRPr="008D7AB0" w:rsidRDefault="008D7AB0">
            <w:pPr>
              <w:pStyle w:val="Footer"/>
              <w:jc w:val="center"/>
              <w:rPr>
                <w:rFonts w:asciiTheme="majorHAnsi" w:hAnsiTheme="majorHAnsi" w:cstheme="majorHAnsi"/>
              </w:rPr>
            </w:pPr>
            <w:r w:rsidRPr="008D7AB0">
              <w:rPr>
                <w:rFonts w:asciiTheme="majorHAnsi" w:hAnsiTheme="majorHAnsi" w:cstheme="majorHAnsi"/>
              </w:rPr>
              <w:t xml:space="preserve">Page </w: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8D7AB0">
              <w:rPr>
                <w:rFonts w:asciiTheme="majorHAnsi" w:hAnsiTheme="majorHAnsi" w:cstheme="majorHAnsi"/>
                <w:bCs/>
              </w:rPr>
              <w:instrText xml:space="preserve"> PAGE </w:instrTex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="002D6409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  <w:r w:rsidRPr="008D7AB0">
              <w:rPr>
                <w:rFonts w:asciiTheme="majorHAnsi" w:hAnsiTheme="majorHAnsi" w:cstheme="majorHAnsi"/>
              </w:rPr>
              <w:t xml:space="preserve"> of </w: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8D7AB0">
              <w:rPr>
                <w:rFonts w:asciiTheme="majorHAnsi" w:hAnsiTheme="majorHAnsi" w:cstheme="majorHAnsi"/>
                <w:bCs/>
              </w:rPr>
              <w:instrText xml:space="preserve"> NUMPAGES  </w:instrTex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="002D6409">
              <w:rPr>
                <w:rFonts w:asciiTheme="majorHAnsi" w:hAnsiTheme="majorHAnsi" w:cstheme="majorHAnsi"/>
                <w:bCs/>
                <w:noProof/>
              </w:rPr>
              <w:t>3</w:t>
            </w:r>
            <w:r w:rsidRPr="008D7AB0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7B582F" w14:textId="77777777" w:rsidR="008D7AB0" w:rsidRDefault="008D7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71E2" w14:textId="77777777" w:rsidR="006F1890" w:rsidRDefault="006F1890" w:rsidP="00EE092D">
      <w:pPr>
        <w:spacing w:after="0" w:line="240" w:lineRule="auto"/>
      </w:pPr>
      <w:r>
        <w:separator/>
      </w:r>
    </w:p>
  </w:footnote>
  <w:footnote w:type="continuationSeparator" w:id="0">
    <w:p w14:paraId="531272E3" w14:textId="77777777" w:rsidR="006F1890" w:rsidRDefault="006F1890" w:rsidP="00EE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0BC"/>
    <w:multiLevelType w:val="multilevel"/>
    <w:tmpl w:val="E80A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5773E"/>
    <w:multiLevelType w:val="hybridMultilevel"/>
    <w:tmpl w:val="3D0A2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A2372"/>
    <w:multiLevelType w:val="hybridMultilevel"/>
    <w:tmpl w:val="2F1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531"/>
    <w:multiLevelType w:val="hybridMultilevel"/>
    <w:tmpl w:val="54EA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2572"/>
    <w:multiLevelType w:val="hybridMultilevel"/>
    <w:tmpl w:val="9DD0AF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388E"/>
    <w:multiLevelType w:val="hybridMultilevel"/>
    <w:tmpl w:val="5D02832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3293"/>
    <w:multiLevelType w:val="hybridMultilevel"/>
    <w:tmpl w:val="D68EC14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2576"/>
    <w:multiLevelType w:val="hybridMultilevel"/>
    <w:tmpl w:val="BB46E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835964"/>
    <w:multiLevelType w:val="hybridMultilevel"/>
    <w:tmpl w:val="2EA856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196A"/>
    <w:multiLevelType w:val="hybridMultilevel"/>
    <w:tmpl w:val="69EC0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4BB9"/>
    <w:multiLevelType w:val="hybridMultilevel"/>
    <w:tmpl w:val="C7521C0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45EF"/>
    <w:multiLevelType w:val="hybridMultilevel"/>
    <w:tmpl w:val="29C82A96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3102A2"/>
    <w:multiLevelType w:val="hybridMultilevel"/>
    <w:tmpl w:val="54D26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41757"/>
    <w:multiLevelType w:val="hybridMultilevel"/>
    <w:tmpl w:val="21E00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2116E"/>
    <w:multiLevelType w:val="hybridMultilevel"/>
    <w:tmpl w:val="BE3A6BD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1321E"/>
    <w:multiLevelType w:val="hybridMultilevel"/>
    <w:tmpl w:val="D7124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25D1"/>
    <w:multiLevelType w:val="hybridMultilevel"/>
    <w:tmpl w:val="C7DCF298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685238"/>
    <w:multiLevelType w:val="hybridMultilevel"/>
    <w:tmpl w:val="C33C5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34F5B"/>
    <w:multiLevelType w:val="multilevel"/>
    <w:tmpl w:val="420C3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4F66DEC"/>
    <w:multiLevelType w:val="hybridMultilevel"/>
    <w:tmpl w:val="CB8C3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C4CD0"/>
    <w:multiLevelType w:val="hybridMultilevel"/>
    <w:tmpl w:val="346ED6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2535E"/>
    <w:multiLevelType w:val="multilevel"/>
    <w:tmpl w:val="F87AF7E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15441A"/>
    <w:multiLevelType w:val="hybridMultilevel"/>
    <w:tmpl w:val="AEAA245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7064E"/>
    <w:multiLevelType w:val="hybridMultilevel"/>
    <w:tmpl w:val="3D74F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2C64B1"/>
    <w:multiLevelType w:val="hybridMultilevel"/>
    <w:tmpl w:val="2948086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B2A4D"/>
    <w:multiLevelType w:val="hybridMultilevel"/>
    <w:tmpl w:val="BA5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F7463"/>
    <w:multiLevelType w:val="hybridMultilevel"/>
    <w:tmpl w:val="F1224594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DE5E2D"/>
    <w:multiLevelType w:val="hybridMultilevel"/>
    <w:tmpl w:val="63563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316EE"/>
    <w:multiLevelType w:val="hybridMultilevel"/>
    <w:tmpl w:val="CCBAA0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54EA3"/>
    <w:multiLevelType w:val="hybridMultilevel"/>
    <w:tmpl w:val="23EEAE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83011">
    <w:abstractNumId w:val="19"/>
  </w:num>
  <w:num w:numId="2" w16cid:durableId="1719547873">
    <w:abstractNumId w:val="11"/>
  </w:num>
  <w:num w:numId="3" w16cid:durableId="1263417630">
    <w:abstractNumId w:val="24"/>
  </w:num>
  <w:num w:numId="4" w16cid:durableId="850487975">
    <w:abstractNumId w:val="13"/>
  </w:num>
  <w:num w:numId="5" w16cid:durableId="2064674033">
    <w:abstractNumId w:val="18"/>
  </w:num>
  <w:num w:numId="6" w16cid:durableId="558979680">
    <w:abstractNumId w:val="21"/>
  </w:num>
  <w:num w:numId="7" w16cid:durableId="1945766622">
    <w:abstractNumId w:val="16"/>
  </w:num>
  <w:num w:numId="8" w16cid:durableId="2094155815">
    <w:abstractNumId w:val="25"/>
  </w:num>
  <w:num w:numId="9" w16cid:durableId="1833252412">
    <w:abstractNumId w:val="20"/>
  </w:num>
  <w:num w:numId="10" w16cid:durableId="1908106735">
    <w:abstractNumId w:val="17"/>
  </w:num>
  <w:num w:numId="11" w16cid:durableId="1161312049">
    <w:abstractNumId w:val="23"/>
  </w:num>
  <w:num w:numId="12" w16cid:durableId="1489780822">
    <w:abstractNumId w:val="29"/>
  </w:num>
  <w:num w:numId="13" w16cid:durableId="675419865">
    <w:abstractNumId w:val="1"/>
  </w:num>
  <w:num w:numId="14" w16cid:durableId="807745536">
    <w:abstractNumId w:val="4"/>
  </w:num>
  <w:num w:numId="15" w16cid:durableId="1326588672">
    <w:abstractNumId w:val="9"/>
  </w:num>
  <w:num w:numId="16" w16cid:durableId="1069230761">
    <w:abstractNumId w:val="12"/>
  </w:num>
  <w:num w:numId="17" w16cid:durableId="2077580608">
    <w:abstractNumId w:val="8"/>
  </w:num>
  <w:num w:numId="18" w16cid:durableId="1644850370">
    <w:abstractNumId w:val="28"/>
  </w:num>
  <w:num w:numId="19" w16cid:durableId="690685470">
    <w:abstractNumId w:val="15"/>
  </w:num>
  <w:num w:numId="20" w16cid:durableId="842404276">
    <w:abstractNumId w:val="3"/>
  </w:num>
  <w:num w:numId="21" w16cid:durableId="1116751056">
    <w:abstractNumId w:val="27"/>
  </w:num>
  <w:num w:numId="22" w16cid:durableId="1339772368">
    <w:abstractNumId w:val="7"/>
  </w:num>
  <w:num w:numId="23" w16cid:durableId="489908321">
    <w:abstractNumId w:val="2"/>
  </w:num>
  <w:num w:numId="24" w16cid:durableId="627783457">
    <w:abstractNumId w:val="0"/>
  </w:num>
  <w:num w:numId="25" w16cid:durableId="663166504">
    <w:abstractNumId w:val="5"/>
  </w:num>
  <w:num w:numId="26" w16cid:durableId="1847666506">
    <w:abstractNumId w:val="26"/>
  </w:num>
  <w:num w:numId="27" w16cid:durableId="1126198468">
    <w:abstractNumId w:val="14"/>
  </w:num>
  <w:num w:numId="28" w16cid:durableId="859516429">
    <w:abstractNumId w:val="6"/>
  </w:num>
  <w:num w:numId="29" w16cid:durableId="1276138673">
    <w:abstractNumId w:val="22"/>
  </w:num>
  <w:num w:numId="30" w16cid:durableId="36440585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61"/>
    <w:rsid w:val="00003699"/>
    <w:rsid w:val="00003872"/>
    <w:rsid w:val="00011E1E"/>
    <w:rsid w:val="00022CC7"/>
    <w:rsid w:val="000311C2"/>
    <w:rsid w:val="00037D0F"/>
    <w:rsid w:val="00047A06"/>
    <w:rsid w:val="00047D22"/>
    <w:rsid w:val="0005064C"/>
    <w:rsid w:val="000527B3"/>
    <w:rsid w:val="00056AA5"/>
    <w:rsid w:val="000578B2"/>
    <w:rsid w:val="000627E8"/>
    <w:rsid w:val="00062FE3"/>
    <w:rsid w:val="0008085B"/>
    <w:rsid w:val="000903B9"/>
    <w:rsid w:val="00091329"/>
    <w:rsid w:val="00091BB5"/>
    <w:rsid w:val="00091EAE"/>
    <w:rsid w:val="000A1D66"/>
    <w:rsid w:val="000A31CB"/>
    <w:rsid w:val="000B281E"/>
    <w:rsid w:val="000C69F0"/>
    <w:rsid w:val="000D585E"/>
    <w:rsid w:val="000D76BF"/>
    <w:rsid w:val="000E67D2"/>
    <w:rsid w:val="000F2438"/>
    <w:rsid w:val="000F5B8F"/>
    <w:rsid w:val="000F7C30"/>
    <w:rsid w:val="00107E2C"/>
    <w:rsid w:val="00121BAF"/>
    <w:rsid w:val="00122C90"/>
    <w:rsid w:val="001246FC"/>
    <w:rsid w:val="0013375C"/>
    <w:rsid w:val="00134D12"/>
    <w:rsid w:val="0013687F"/>
    <w:rsid w:val="00141439"/>
    <w:rsid w:val="00142439"/>
    <w:rsid w:val="00144F09"/>
    <w:rsid w:val="00157E0C"/>
    <w:rsid w:val="00162998"/>
    <w:rsid w:val="0017224F"/>
    <w:rsid w:val="00173529"/>
    <w:rsid w:val="00174C37"/>
    <w:rsid w:val="00177D42"/>
    <w:rsid w:val="00190371"/>
    <w:rsid w:val="0019602F"/>
    <w:rsid w:val="001A07DC"/>
    <w:rsid w:val="001A1327"/>
    <w:rsid w:val="001A5EC3"/>
    <w:rsid w:val="001A640C"/>
    <w:rsid w:val="001B7871"/>
    <w:rsid w:val="001C084D"/>
    <w:rsid w:val="001C10B5"/>
    <w:rsid w:val="001C6DB0"/>
    <w:rsid w:val="001D05F5"/>
    <w:rsid w:val="001E3A0F"/>
    <w:rsid w:val="001E422C"/>
    <w:rsid w:val="001F5721"/>
    <w:rsid w:val="001F7416"/>
    <w:rsid w:val="00210588"/>
    <w:rsid w:val="00214340"/>
    <w:rsid w:val="00222991"/>
    <w:rsid w:val="002274B3"/>
    <w:rsid w:val="00231A30"/>
    <w:rsid w:val="0023799A"/>
    <w:rsid w:val="00252A6F"/>
    <w:rsid w:val="0025723F"/>
    <w:rsid w:val="00285F29"/>
    <w:rsid w:val="0029052E"/>
    <w:rsid w:val="0029427D"/>
    <w:rsid w:val="002A0E93"/>
    <w:rsid w:val="002A7D3C"/>
    <w:rsid w:val="002B61C2"/>
    <w:rsid w:val="002C1F0E"/>
    <w:rsid w:val="002C416F"/>
    <w:rsid w:val="002C5B22"/>
    <w:rsid w:val="002C70AB"/>
    <w:rsid w:val="002C79AE"/>
    <w:rsid w:val="002D6409"/>
    <w:rsid w:val="002F0322"/>
    <w:rsid w:val="002F6244"/>
    <w:rsid w:val="002F6DD4"/>
    <w:rsid w:val="00303846"/>
    <w:rsid w:val="0031044B"/>
    <w:rsid w:val="00320178"/>
    <w:rsid w:val="003228BC"/>
    <w:rsid w:val="00330873"/>
    <w:rsid w:val="00343D0D"/>
    <w:rsid w:val="00347FB8"/>
    <w:rsid w:val="00355AED"/>
    <w:rsid w:val="00356F59"/>
    <w:rsid w:val="00366FEF"/>
    <w:rsid w:val="00380080"/>
    <w:rsid w:val="00382126"/>
    <w:rsid w:val="00387AD7"/>
    <w:rsid w:val="003A189D"/>
    <w:rsid w:val="003B27F8"/>
    <w:rsid w:val="003C0B57"/>
    <w:rsid w:val="003C1B1C"/>
    <w:rsid w:val="003C5CC1"/>
    <w:rsid w:val="003C7534"/>
    <w:rsid w:val="003D1A87"/>
    <w:rsid w:val="003D6241"/>
    <w:rsid w:val="003E00AA"/>
    <w:rsid w:val="003F2013"/>
    <w:rsid w:val="003F6515"/>
    <w:rsid w:val="004025D0"/>
    <w:rsid w:val="00402AE1"/>
    <w:rsid w:val="0040489A"/>
    <w:rsid w:val="00412B6F"/>
    <w:rsid w:val="0041686D"/>
    <w:rsid w:val="00422CC3"/>
    <w:rsid w:val="00426BF0"/>
    <w:rsid w:val="004410AE"/>
    <w:rsid w:val="00453012"/>
    <w:rsid w:val="00453A9D"/>
    <w:rsid w:val="00455FD6"/>
    <w:rsid w:val="00460BDC"/>
    <w:rsid w:val="00461DA6"/>
    <w:rsid w:val="00472505"/>
    <w:rsid w:val="00474DCF"/>
    <w:rsid w:val="0048463D"/>
    <w:rsid w:val="004902C7"/>
    <w:rsid w:val="0049382C"/>
    <w:rsid w:val="004A24DC"/>
    <w:rsid w:val="004B65FF"/>
    <w:rsid w:val="004C3F43"/>
    <w:rsid w:val="004C4B98"/>
    <w:rsid w:val="004D7695"/>
    <w:rsid w:val="004E50B1"/>
    <w:rsid w:val="004F1DC5"/>
    <w:rsid w:val="004F3507"/>
    <w:rsid w:val="004F6C2E"/>
    <w:rsid w:val="005166C0"/>
    <w:rsid w:val="00517C36"/>
    <w:rsid w:val="00523663"/>
    <w:rsid w:val="00523E66"/>
    <w:rsid w:val="00540C8A"/>
    <w:rsid w:val="0056240C"/>
    <w:rsid w:val="0056298B"/>
    <w:rsid w:val="00562BF9"/>
    <w:rsid w:val="00563455"/>
    <w:rsid w:val="00563AB9"/>
    <w:rsid w:val="00565FE7"/>
    <w:rsid w:val="00572A82"/>
    <w:rsid w:val="005732A1"/>
    <w:rsid w:val="00574A37"/>
    <w:rsid w:val="00575CEB"/>
    <w:rsid w:val="00591C14"/>
    <w:rsid w:val="00593A66"/>
    <w:rsid w:val="00597EAD"/>
    <w:rsid w:val="005A598E"/>
    <w:rsid w:val="005B4194"/>
    <w:rsid w:val="005B72CA"/>
    <w:rsid w:val="005B74D4"/>
    <w:rsid w:val="005B7AC6"/>
    <w:rsid w:val="005C0E87"/>
    <w:rsid w:val="005C1A13"/>
    <w:rsid w:val="005C6A57"/>
    <w:rsid w:val="005C6D25"/>
    <w:rsid w:val="005D555A"/>
    <w:rsid w:val="005D733B"/>
    <w:rsid w:val="005E3371"/>
    <w:rsid w:val="005E4817"/>
    <w:rsid w:val="005E4E08"/>
    <w:rsid w:val="005F0257"/>
    <w:rsid w:val="005F4AB6"/>
    <w:rsid w:val="005F7AAB"/>
    <w:rsid w:val="00625C4D"/>
    <w:rsid w:val="0062789E"/>
    <w:rsid w:val="00630A5A"/>
    <w:rsid w:val="0063473C"/>
    <w:rsid w:val="006412D2"/>
    <w:rsid w:val="00652513"/>
    <w:rsid w:val="006528AB"/>
    <w:rsid w:val="006576DA"/>
    <w:rsid w:val="006801B0"/>
    <w:rsid w:val="00681E25"/>
    <w:rsid w:val="006825C2"/>
    <w:rsid w:val="00682989"/>
    <w:rsid w:val="006958AF"/>
    <w:rsid w:val="00697BCE"/>
    <w:rsid w:val="006A0500"/>
    <w:rsid w:val="006A6BBA"/>
    <w:rsid w:val="006C6CB9"/>
    <w:rsid w:val="006D0F2C"/>
    <w:rsid w:val="006E32EC"/>
    <w:rsid w:val="006F1890"/>
    <w:rsid w:val="006F667F"/>
    <w:rsid w:val="00700EB9"/>
    <w:rsid w:val="007029BA"/>
    <w:rsid w:val="007037DB"/>
    <w:rsid w:val="00704671"/>
    <w:rsid w:val="00707DD5"/>
    <w:rsid w:val="00707FAE"/>
    <w:rsid w:val="00712E58"/>
    <w:rsid w:val="00731569"/>
    <w:rsid w:val="00731912"/>
    <w:rsid w:val="00741D5C"/>
    <w:rsid w:val="00770D47"/>
    <w:rsid w:val="0077327B"/>
    <w:rsid w:val="00782638"/>
    <w:rsid w:val="007873C5"/>
    <w:rsid w:val="00787EF5"/>
    <w:rsid w:val="0079550A"/>
    <w:rsid w:val="007960DE"/>
    <w:rsid w:val="00796CC2"/>
    <w:rsid w:val="00797F01"/>
    <w:rsid w:val="007A1821"/>
    <w:rsid w:val="007A5CBA"/>
    <w:rsid w:val="007A65F4"/>
    <w:rsid w:val="007B6959"/>
    <w:rsid w:val="007D0FBE"/>
    <w:rsid w:val="00800529"/>
    <w:rsid w:val="00806495"/>
    <w:rsid w:val="0080720C"/>
    <w:rsid w:val="00817110"/>
    <w:rsid w:val="00824E1B"/>
    <w:rsid w:val="00831931"/>
    <w:rsid w:val="00835B1D"/>
    <w:rsid w:val="00836678"/>
    <w:rsid w:val="00842FB6"/>
    <w:rsid w:val="00843B9D"/>
    <w:rsid w:val="0084524D"/>
    <w:rsid w:val="0085004B"/>
    <w:rsid w:val="0085009E"/>
    <w:rsid w:val="00850DD7"/>
    <w:rsid w:val="00851726"/>
    <w:rsid w:val="00854446"/>
    <w:rsid w:val="00857ED5"/>
    <w:rsid w:val="00860D95"/>
    <w:rsid w:val="0086144F"/>
    <w:rsid w:val="00862F69"/>
    <w:rsid w:val="0086467B"/>
    <w:rsid w:val="00883112"/>
    <w:rsid w:val="0088400A"/>
    <w:rsid w:val="00893707"/>
    <w:rsid w:val="00894F43"/>
    <w:rsid w:val="00896AEC"/>
    <w:rsid w:val="00897D90"/>
    <w:rsid w:val="008A5786"/>
    <w:rsid w:val="008A6075"/>
    <w:rsid w:val="008A679E"/>
    <w:rsid w:val="008A7210"/>
    <w:rsid w:val="008B0385"/>
    <w:rsid w:val="008B0E2D"/>
    <w:rsid w:val="008B11B8"/>
    <w:rsid w:val="008B4C7D"/>
    <w:rsid w:val="008B6AA0"/>
    <w:rsid w:val="008C6B42"/>
    <w:rsid w:val="008D7AB0"/>
    <w:rsid w:val="008F0EDB"/>
    <w:rsid w:val="009018F3"/>
    <w:rsid w:val="00906A68"/>
    <w:rsid w:val="00906B00"/>
    <w:rsid w:val="00910DD6"/>
    <w:rsid w:val="0091587D"/>
    <w:rsid w:val="00921879"/>
    <w:rsid w:val="00922BC9"/>
    <w:rsid w:val="009253B9"/>
    <w:rsid w:val="00925C40"/>
    <w:rsid w:val="009260D8"/>
    <w:rsid w:val="00932C9D"/>
    <w:rsid w:val="00933DC5"/>
    <w:rsid w:val="00936244"/>
    <w:rsid w:val="009448DC"/>
    <w:rsid w:val="00945BBB"/>
    <w:rsid w:val="00947D6D"/>
    <w:rsid w:val="0095552F"/>
    <w:rsid w:val="0096733A"/>
    <w:rsid w:val="00967F92"/>
    <w:rsid w:val="0097447F"/>
    <w:rsid w:val="00974BA6"/>
    <w:rsid w:val="00983512"/>
    <w:rsid w:val="00983B9C"/>
    <w:rsid w:val="0098536E"/>
    <w:rsid w:val="00985691"/>
    <w:rsid w:val="00985B8D"/>
    <w:rsid w:val="00990717"/>
    <w:rsid w:val="0099693A"/>
    <w:rsid w:val="00996D05"/>
    <w:rsid w:val="009A5BD2"/>
    <w:rsid w:val="009A5F9F"/>
    <w:rsid w:val="009B0455"/>
    <w:rsid w:val="009B2E74"/>
    <w:rsid w:val="009B65CB"/>
    <w:rsid w:val="009B7472"/>
    <w:rsid w:val="009C4B25"/>
    <w:rsid w:val="009C53EB"/>
    <w:rsid w:val="009D0203"/>
    <w:rsid w:val="009D3902"/>
    <w:rsid w:val="009D3A44"/>
    <w:rsid w:val="009E4CA2"/>
    <w:rsid w:val="009F261D"/>
    <w:rsid w:val="009F6B1C"/>
    <w:rsid w:val="00A05303"/>
    <w:rsid w:val="00A13DDA"/>
    <w:rsid w:val="00A23D8D"/>
    <w:rsid w:val="00A26487"/>
    <w:rsid w:val="00A36E72"/>
    <w:rsid w:val="00A37790"/>
    <w:rsid w:val="00A44ADE"/>
    <w:rsid w:val="00A45061"/>
    <w:rsid w:val="00A45E7B"/>
    <w:rsid w:val="00A46ED4"/>
    <w:rsid w:val="00A54795"/>
    <w:rsid w:val="00A55656"/>
    <w:rsid w:val="00A606C9"/>
    <w:rsid w:val="00A656E6"/>
    <w:rsid w:val="00A7181D"/>
    <w:rsid w:val="00A74FAE"/>
    <w:rsid w:val="00A75B0F"/>
    <w:rsid w:val="00A816FE"/>
    <w:rsid w:val="00A9435D"/>
    <w:rsid w:val="00A96328"/>
    <w:rsid w:val="00AA535C"/>
    <w:rsid w:val="00AB6D94"/>
    <w:rsid w:val="00AB7316"/>
    <w:rsid w:val="00AC1A3F"/>
    <w:rsid w:val="00AC7D24"/>
    <w:rsid w:val="00AD1267"/>
    <w:rsid w:val="00AD350D"/>
    <w:rsid w:val="00AD5C46"/>
    <w:rsid w:val="00AE390E"/>
    <w:rsid w:val="00AE3AA4"/>
    <w:rsid w:val="00AE60EB"/>
    <w:rsid w:val="00AF1EB4"/>
    <w:rsid w:val="00AF2B54"/>
    <w:rsid w:val="00AF35F2"/>
    <w:rsid w:val="00B037EB"/>
    <w:rsid w:val="00B07453"/>
    <w:rsid w:val="00B07661"/>
    <w:rsid w:val="00B07C7B"/>
    <w:rsid w:val="00B12657"/>
    <w:rsid w:val="00B14D81"/>
    <w:rsid w:val="00B15C71"/>
    <w:rsid w:val="00B343DC"/>
    <w:rsid w:val="00B37DB6"/>
    <w:rsid w:val="00B41281"/>
    <w:rsid w:val="00B519F3"/>
    <w:rsid w:val="00B5217F"/>
    <w:rsid w:val="00B5218E"/>
    <w:rsid w:val="00B5225B"/>
    <w:rsid w:val="00B52C52"/>
    <w:rsid w:val="00B55640"/>
    <w:rsid w:val="00B73C09"/>
    <w:rsid w:val="00B76981"/>
    <w:rsid w:val="00B84506"/>
    <w:rsid w:val="00B90C4D"/>
    <w:rsid w:val="00B920D5"/>
    <w:rsid w:val="00B93606"/>
    <w:rsid w:val="00BB07FE"/>
    <w:rsid w:val="00BB4CDD"/>
    <w:rsid w:val="00BC1B2E"/>
    <w:rsid w:val="00BC2327"/>
    <w:rsid w:val="00BC24E1"/>
    <w:rsid w:val="00BC2A75"/>
    <w:rsid w:val="00BC49F0"/>
    <w:rsid w:val="00BD6287"/>
    <w:rsid w:val="00BE4582"/>
    <w:rsid w:val="00BE5DB7"/>
    <w:rsid w:val="00BF2245"/>
    <w:rsid w:val="00BF6306"/>
    <w:rsid w:val="00BF7F58"/>
    <w:rsid w:val="00C04151"/>
    <w:rsid w:val="00C07F45"/>
    <w:rsid w:val="00C13604"/>
    <w:rsid w:val="00C14C73"/>
    <w:rsid w:val="00C17917"/>
    <w:rsid w:val="00C22BE5"/>
    <w:rsid w:val="00C45661"/>
    <w:rsid w:val="00C457B1"/>
    <w:rsid w:val="00C463CC"/>
    <w:rsid w:val="00C46C80"/>
    <w:rsid w:val="00C50A24"/>
    <w:rsid w:val="00C57673"/>
    <w:rsid w:val="00C67FA1"/>
    <w:rsid w:val="00C7470F"/>
    <w:rsid w:val="00C8100A"/>
    <w:rsid w:val="00C81664"/>
    <w:rsid w:val="00C87CF3"/>
    <w:rsid w:val="00C95E86"/>
    <w:rsid w:val="00CA2C3C"/>
    <w:rsid w:val="00CA4E27"/>
    <w:rsid w:val="00CB4677"/>
    <w:rsid w:val="00CB4B1D"/>
    <w:rsid w:val="00CC7133"/>
    <w:rsid w:val="00CD1759"/>
    <w:rsid w:val="00CD2C87"/>
    <w:rsid w:val="00CD5ED8"/>
    <w:rsid w:val="00CE46F5"/>
    <w:rsid w:val="00CF6EAA"/>
    <w:rsid w:val="00D00005"/>
    <w:rsid w:val="00D01EF1"/>
    <w:rsid w:val="00D02B53"/>
    <w:rsid w:val="00D0307B"/>
    <w:rsid w:val="00D05EAC"/>
    <w:rsid w:val="00D11A03"/>
    <w:rsid w:val="00D139EF"/>
    <w:rsid w:val="00D40310"/>
    <w:rsid w:val="00D46E06"/>
    <w:rsid w:val="00D50D71"/>
    <w:rsid w:val="00D5156E"/>
    <w:rsid w:val="00D52B89"/>
    <w:rsid w:val="00D61D1F"/>
    <w:rsid w:val="00D646B0"/>
    <w:rsid w:val="00D65AE9"/>
    <w:rsid w:val="00D65AFD"/>
    <w:rsid w:val="00D677FA"/>
    <w:rsid w:val="00D73DF1"/>
    <w:rsid w:val="00D80ECE"/>
    <w:rsid w:val="00D82618"/>
    <w:rsid w:val="00D848D9"/>
    <w:rsid w:val="00D958FD"/>
    <w:rsid w:val="00DA524F"/>
    <w:rsid w:val="00DC428C"/>
    <w:rsid w:val="00DD60D7"/>
    <w:rsid w:val="00DE289B"/>
    <w:rsid w:val="00DF08C5"/>
    <w:rsid w:val="00E146CC"/>
    <w:rsid w:val="00E1578F"/>
    <w:rsid w:val="00E16923"/>
    <w:rsid w:val="00E217BC"/>
    <w:rsid w:val="00E236BE"/>
    <w:rsid w:val="00E27E53"/>
    <w:rsid w:val="00E34E2E"/>
    <w:rsid w:val="00E3561F"/>
    <w:rsid w:val="00E356D9"/>
    <w:rsid w:val="00E44D79"/>
    <w:rsid w:val="00E54D7B"/>
    <w:rsid w:val="00E6334D"/>
    <w:rsid w:val="00E63E7E"/>
    <w:rsid w:val="00E723B1"/>
    <w:rsid w:val="00E7458C"/>
    <w:rsid w:val="00E751F9"/>
    <w:rsid w:val="00E75D3F"/>
    <w:rsid w:val="00E8020F"/>
    <w:rsid w:val="00E81E7E"/>
    <w:rsid w:val="00E86092"/>
    <w:rsid w:val="00E90A39"/>
    <w:rsid w:val="00E93ADD"/>
    <w:rsid w:val="00EB5915"/>
    <w:rsid w:val="00EC77ED"/>
    <w:rsid w:val="00ED565F"/>
    <w:rsid w:val="00EE092D"/>
    <w:rsid w:val="00EE239A"/>
    <w:rsid w:val="00EE5F90"/>
    <w:rsid w:val="00EE7A37"/>
    <w:rsid w:val="00EF11E7"/>
    <w:rsid w:val="00F02492"/>
    <w:rsid w:val="00F026BC"/>
    <w:rsid w:val="00F026D8"/>
    <w:rsid w:val="00F0628C"/>
    <w:rsid w:val="00F20557"/>
    <w:rsid w:val="00F32026"/>
    <w:rsid w:val="00F32D20"/>
    <w:rsid w:val="00F44E70"/>
    <w:rsid w:val="00F5179F"/>
    <w:rsid w:val="00F55622"/>
    <w:rsid w:val="00F612CB"/>
    <w:rsid w:val="00F63AE1"/>
    <w:rsid w:val="00F63C70"/>
    <w:rsid w:val="00F64837"/>
    <w:rsid w:val="00F67F78"/>
    <w:rsid w:val="00F71597"/>
    <w:rsid w:val="00F754DD"/>
    <w:rsid w:val="00F9539B"/>
    <w:rsid w:val="00FA4473"/>
    <w:rsid w:val="00FB0876"/>
    <w:rsid w:val="00FB1394"/>
    <w:rsid w:val="00FB6B71"/>
    <w:rsid w:val="00FC33D0"/>
    <w:rsid w:val="00FC563A"/>
    <w:rsid w:val="00FC595D"/>
    <w:rsid w:val="00FD006B"/>
    <w:rsid w:val="00FD38EA"/>
    <w:rsid w:val="00FD3933"/>
    <w:rsid w:val="00FD60E6"/>
    <w:rsid w:val="00FD63BC"/>
    <w:rsid w:val="00FE0BB1"/>
    <w:rsid w:val="00FE3351"/>
    <w:rsid w:val="00FE3B9F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DC467"/>
  <w15:docId w15:val="{AC01DB67-9350-4FE6-9544-60E8830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8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D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5EC3"/>
    <w:rPr>
      <w:color w:val="808080"/>
    </w:rPr>
  </w:style>
  <w:style w:type="paragraph" w:styleId="Revision">
    <w:name w:val="Revision"/>
    <w:hidden/>
    <w:uiPriority w:val="99"/>
    <w:semiHidden/>
    <w:rsid w:val="009B65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1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6FE"/>
    <w:rPr>
      <w:b/>
      <w:bCs/>
      <w:sz w:val="20"/>
      <w:szCs w:val="20"/>
    </w:rPr>
  </w:style>
  <w:style w:type="paragraph" w:customStyle="1" w:styleId="Default">
    <w:name w:val="Default"/>
    <w:rsid w:val="00955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9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9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9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65F"/>
  </w:style>
  <w:style w:type="paragraph" w:styleId="Footer">
    <w:name w:val="footer"/>
    <w:basedOn w:val="Normal"/>
    <w:link w:val="FooterChar"/>
    <w:uiPriority w:val="99"/>
    <w:unhideWhenUsed/>
    <w:rsid w:val="00ED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65F"/>
  </w:style>
  <w:style w:type="character" w:styleId="UnresolvedMention">
    <w:name w:val="Unresolved Mention"/>
    <w:basedOn w:val="DefaultParagraphFont"/>
    <w:uiPriority w:val="99"/>
    <w:semiHidden/>
    <w:unhideWhenUsed/>
    <w:rsid w:val="00C50A2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F0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hireandwarrington.com/what-we-do/skills-and-education/data-and-labour-market-informatio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.jackson@cheshireandwarringto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shireandwarrington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nders@cheshireandwarringt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dwopportunities.co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D7A8-C419-4A76-8EA8-668F0A6D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1278</Words>
  <Characters>8234</Characters>
  <Application>Microsoft Office Word</Application>
  <DocSecurity>0</DocSecurity>
  <Lines>588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Pretty/GBR/DTZ</dc:creator>
  <cp:keywords/>
  <dc:description/>
  <cp:lastModifiedBy>Phillippa Meachin</cp:lastModifiedBy>
  <cp:revision>2</cp:revision>
  <cp:lastPrinted>2021-10-20T22:50:00Z</cp:lastPrinted>
  <dcterms:created xsi:type="dcterms:W3CDTF">2025-09-09T10:04:00Z</dcterms:created>
  <dcterms:modified xsi:type="dcterms:W3CDTF">2025-09-09T10:04:00Z</dcterms:modified>
</cp:coreProperties>
</file>