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45B9" w14:textId="13EACF8D" w:rsidR="004907E2" w:rsidRDefault="00651276">
      <w:r>
        <w:rPr>
          <w:b/>
          <w:bCs/>
        </w:rPr>
        <w:t xml:space="preserve">Cheshire and Warrington </w:t>
      </w:r>
      <w:r w:rsidR="004907E2" w:rsidRPr="00AB1077">
        <w:rPr>
          <w:b/>
          <w:bCs/>
        </w:rPr>
        <w:t xml:space="preserve">Housing Retrofit </w:t>
      </w:r>
      <w:r>
        <w:rPr>
          <w:b/>
          <w:bCs/>
        </w:rPr>
        <w:t xml:space="preserve">Study </w:t>
      </w:r>
      <w:r w:rsidR="004907E2" w:rsidRPr="00AB1077">
        <w:rPr>
          <w:b/>
          <w:bCs/>
        </w:rPr>
        <w:t>ITT Queries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6723"/>
      </w:tblGrid>
      <w:tr w:rsidR="004907E2" w14:paraId="40CDBE00" w14:textId="77777777" w:rsidTr="004907E2">
        <w:tc>
          <w:tcPr>
            <w:tcW w:w="704" w:type="dxa"/>
          </w:tcPr>
          <w:p w14:paraId="7289B1EE" w14:textId="77777777" w:rsidR="004907E2" w:rsidRDefault="004907E2"/>
        </w:tc>
        <w:tc>
          <w:tcPr>
            <w:tcW w:w="6521" w:type="dxa"/>
          </w:tcPr>
          <w:p w14:paraId="277BF305" w14:textId="63BC0DDA" w:rsidR="004907E2" w:rsidRPr="000151AF" w:rsidRDefault="005F4735">
            <w:pPr>
              <w:rPr>
                <w:b/>
                <w:bCs/>
              </w:rPr>
            </w:pPr>
            <w:r w:rsidRPr="000151AF">
              <w:rPr>
                <w:b/>
                <w:bCs/>
              </w:rPr>
              <w:t>Query</w:t>
            </w:r>
          </w:p>
        </w:tc>
        <w:tc>
          <w:tcPr>
            <w:tcW w:w="6723" w:type="dxa"/>
          </w:tcPr>
          <w:p w14:paraId="5926CE86" w14:textId="621DACFF" w:rsidR="004907E2" w:rsidRPr="000151AF" w:rsidRDefault="005F4735">
            <w:pPr>
              <w:rPr>
                <w:b/>
                <w:bCs/>
              </w:rPr>
            </w:pPr>
            <w:r w:rsidRPr="000151AF">
              <w:rPr>
                <w:b/>
                <w:bCs/>
              </w:rPr>
              <w:t>Response</w:t>
            </w:r>
          </w:p>
        </w:tc>
      </w:tr>
      <w:tr w:rsidR="004907E2" w:rsidRPr="004907E2" w14:paraId="5CDA112D" w14:textId="77777777" w:rsidTr="004907E2">
        <w:tc>
          <w:tcPr>
            <w:tcW w:w="704" w:type="dxa"/>
          </w:tcPr>
          <w:p w14:paraId="2FFEDF3E" w14:textId="193AEC75" w:rsidR="004907E2" w:rsidRPr="004907E2" w:rsidRDefault="004907E2">
            <w:pPr>
              <w:rPr>
                <w:rFonts w:cstheme="minorHAnsi"/>
              </w:rPr>
            </w:pPr>
            <w:r w:rsidRPr="004907E2">
              <w:rPr>
                <w:rFonts w:cstheme="minorHAnsi"/>
              </w:rPr>
              <w:t>1</w:t>
            </w:r>
          </w:p>
        </w:tc>
        <w:tc>
          <w:tcPr>
            <w:tcW w:w="6521" w:type="dxa"/>
          </w:tcPr>
          <w:p w14:paraId="5FC70DCF" w14:textId="2B81308F" w:rsidR="004907E2" w:rsidRPr="00AB1077" w:rsidRDefault="004907E2" w:rsidP="004907E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077">
              <w:rPr>
                <w:rFonts w:cstheme="minorHAnsi"/>
                <w:kern w:val="0"/>
              </w:rPr>
              <w:t>Can you advise whether the delivery date of the end of November 2023 is a hard stop? Section 2 (page 3) mentions that ‘subject to funding becoming available there is an option to extend the contract for a further 6 months’, which is a significant extension, given the contract length is less than 2 months.</w:t>
            </w:r>
          </w:p>
        </w:tc>
        <w:tc>
          <w:tcPr>
            <w:tcW w:w="6723" w:type="dxa"/>
          </w:tcPr>
          <w:p w14:paraId="5A6AA020" w14:textId="79D43E69" w:rsidR="004907E2" w:rsidRDefault="004907E2" w:rsidP="00953305">
            <w:pPr>
              <w:spacing w:after="160" w:line="259" w:lineRule="auto"/>
              <w:rPr>
                <w:rFonts w:eastAsia="Times New Roman" w:cstheme="minorHAnsi"/>
              </w:rPr>
            </w:pPr>
            <w:r w:rsidRPr="00953305">
              <w:rPr>
                <w:rFonts w:eastAsia="Times New Roman" w:cstheme="minorHAnsi"/>
              </w:rPr>
              <w:t xml:space="preserve">November is a hard stop deadline for the finalisation of fees &amp; funding for this part of the project. </w:t>
            </w:r>
            <w:r w:rsidR="000151AF">
              <w:rPr>
                <w:rFonts w:eastAsia="Times New Roman" w:cstheme="minorHAnsi"/>
              </w:rPr>
              <w:t>We may be able to find some flexibility during the contract however tenderers should plan</w:t>
            </w:r>
            <w:r w:rsidRPr="00953305">
              <w:rPr>
                <w:rFonts w:eastAsia="Times New Roman" w:cstheme="minorHAnsi"/>
              </w:rPr>
              <w:t xml:space="preserve"> for November to be the final report to be able to close out funding, noting key milestones that L</w:t>
            </w:r>
            <w:r w:rsidR="00131431">
              <w:rPr>
                <w:rFonts w:eastAsia="Times New Roman" w:cstheme="minorHAnsi"/>
              </w:rPr>
              <w:t>ocal Authorities</w:t>
            </w:r>
            <w:r w:rsidRPr="00953305">
              <w:rPr>
                <w:rFonts w:eastAsia="Times New Roman" w:cstheme="minorHAnsi"/>
              </w:rPr>
              <w:t xml:space="preserve"> would need to meet </w:t>
            </w:r>
            <w:proofErr w:type="gramStart"/>
            <w:r w:rsidRPr="00953305">
              <w:rPr>
                <w:rFonts w:eastAsia="Times New Roman" w:cstheme="minorHAnsi"/>
              </w:rPr>
              <w:t>in order to</w:t>
            </w:r>
            <w:proofErr w:type="gramEnd"/>
            <w:r w:rsidRPr="00953305">
              <w:rPr>
                <w:rFonts w:eastAsia="Times New Roman" w:cstheme="minorHAnsi"/>
              </w:rPr>
              <w:t xml:space="preserve"> achieve this deadline. This includes the access to data, timing for consultant feedback etc. Noting </w:t>
            </w:r>
            <w:r w:rsidR="00781AF8">
              <w:rPr>
                <w:rFonts w:eastAsia="Times New Roman" w:cstheme="minorHAnsi"/>
              </w:rPr>
              <w:t>this</w:t>
            </w:r>
            <w:r w:rsidRPr="00953305">
              <w:rPr>
                <w:rFonts w:eastAsia="Times New Roman" w:cstheme="minorHAnsi"/>
              </w:rPr>
              <w:t xml:space="preserve"> deadline please consider a response that could appropriately address the brief in this first phase.</w:t>
            </w:r>
            <w:r w:rsidR="000151AF">
              <w:rPr>
                <w:rFonts w:eastAsia="Times New Roman" w:cstheme="minorHAnsi"/>
              </w:rPr>
              <w:t xml:space="preserve"> </w:t>
            </w:r>
          </w:p>
          <w:p w14:paraId="742815B2" w14:textId="37B050EF" w:rsidR="00131431" w:rsidRPr="00953305" w:rsidRDefault="00131431" w:rsidP="0095330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reference to an extension is to </w:t>
            </w:r>
            <w:r w:rsidR="00920FF7">
              <w:rPr>
                <w:rFonts w:eastAsia="Times New Roman" w:cstheme="minorHAnsi"/>
              </w:rPr>
              <w:t xml:space="preserve">include provision to </w:t>
            </w:r>
            <w:r>
              <w:rPr>
                <w:rFonts w:eastAsia="Times New Roman" w:cstheme="minorHAnsi"/>
              </w:rPr>
              <w:t>allow the contract to be used in the event of further funding becoming available</w:t>
            </w:r>
            <w:r w:rsidR="00920FF7">
              <w:rPr>
                <w:rFonts w:eastAsia="Times New Roman" w:cstheme="minorHAnsi"/>
              </w:rPr>
              <w:t xml:space="preserve"> during the year, but we are not expecting this to be the case. </w:t>
            </w:r>
          </w:p>
          <w:p w14:paraId="7269B88E" w14:textId="77777777" w:rsidR="004907E2" w:rsidRPr="00AB1077" w:rsidRDefault="004907E2">
            <w:pPr>
              <w:rPr>
                <w:rFonts w:cstheme="minorHAnsi"/>
              </w:rPr>
            </w:pPr>
          </w:p>
        </w:tc>
      </w:tr>
      <w:tr w:rsidR="004907E2" w:rsidRPr="004907E2" w14:paraId="72EE7BBB" w14:textId="77777777" w:rsidTr="004907E2">
        <w:tc>
          <w:tcPr>
            <w:tcW w:w="704" w:type="dxa"/>
          </w:tcPr>
          <w:p w14:paraId="34D1D346" w14:textId="048DFA62" w:rsidR="004907E2" w:rsidRPr="004907E2" w:rsidRDefault="004907E2">
            <w:pPr>
              <w:rPr>
                <w:rFonts w:cstheme="minorHAnsi"/>
              </w:rPr>
            </w:pPr>
            <w:r w:rsidRPr="004907E2">
              <w:rPr>
                <w:rFonts w:cstheme="minorHAnsi"/>
              </w:rPr>
              <w:t>2</w:t>
            </w:r>
          </w:p>
        </w:tc>
        <w:tc>
          <w:tcPr>
            <w:tcW w:w="6521" w:type="dxa"/>
          </w:tcPr>
          <w:p w14:paraId="431CDA6C" w14:textId="77777777" w:rsidR="00DE758C" w:rsidRDefault="004907E2" w:rsidP="004907E2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907E2">
              <w:rPr>
                <w:rFonts w:cstheme="minorHAnsi"/>
                <w:kern w:val="0"/>
              </w:rPr>
              <w:t>There is no reference to data licenses, development or delivery of housing stock</w:t>
            </w:r>
            <w:r>
              <w:rPr>
                <w:rFonts w:cstheme="minorHAnsi"/>
                <w:kern w:val="0"/>
              </w:rPr>
              <w:t xml:space="preserve"> </w:t>
            </w:r>
            <w:r w:rsidRPr="004907E2">
              <w:rPr>
                <w:rFonts w:cstheme="minorHAnsi"/>
                <w:kern w:val="0"/>
              </w:rPr>
              <w:t xml:space="preserve">databases in the specification. </w:t>
            </w:r>
          </w:p>
          <w:p w14:paraId="56D9C8D1" w14:textId="3E7900B4" w:rsidR="004907E2" w:rsidRPr="004907E2" w:rsidRDefault="004907E2" w:rsidP="004907E2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907E2">
              <w:rPr>
                <w:rFonts w:cstheme="minorHAnsi"/>
                <w:kern w:val="0"/>
              </w:rPr>
              <w:t>Can we confirm that you are only interested in a</w:t>
            </w:r>
            <w:r>
              <w:rPr>
                <w:rFonts w:cstheme="minorHAnsi"/>
                <w:kern w:val="0"/>
              </w:rPr>
              <w:t xml:space="preserve"> </w:t>
            </w:r>
            <w:r w:rsidRPr="004907E2">
              <w:rPr>
                <w:rFonts w:cstheme="minorHAnsi"/>
                <w:kern w:val="0"/>
              </w:rPr>
              <w:t>report / study of the housing stock in Cheshire and Warrington (with sub-regional</w:t>
            </w:r>
            <w:r>
              <w:rPr>
                <w:rFonts w:cstheme="minorHAnsi"/>
                <w:kern w:val="0"/>
              </w:rPr>
              <w:t xml:space="preserve"> </w:t>
            </w:r>
            <w:r w:rsidRPr="004907E2">
              <w:rPr>
                <w:rFonts w:cstheme="minorHAnsi"/>
                <w:kern w:val="0"/>
              </w:rPr>
              <w:t>breakdowns) and not the underlying, address-level data?</w:t>
            </w:r>
            <w:r>
              <w:rPr>
                <w:rFonts w:cstheme="minorHAnsi"/>
                <w:kern w:val="0"/>
              </w:rPr>
              <w:t xml:space="preserve"> </w:t>
            </w:r>
          </w:p>
          <w:p w14:paraId="3ABC522F" w14:textId="77777777" w:rsidR="004907E2" w:rsidRPr="004907E2" w:rsidRDefault="004907E2" w:rsidP="004907E2">
            <w:pPr>
              <w:rPr>
                <w:rFonts w:cstheme="minorHAnsi"/>
                <w:kern w:val="0"/>
              </w:rPr>
            </w:pPr>
          </w:p>
          <w:p w14:paraId="70A2FBCB" w14:textId="21769B19" w:rsidR="004907E2" w:rsidRPr="004907E2" w:rsidRDefault="004907E2" w:rsidP="004907E2">
            <w:pPr>
              <w:rPr>
                <w:rFonts w:cstheme="minorHAnsi"/>
              </w:rPr>
            </w:pPr>
          </w:p>
        </w:tc>
        <w:tc>
          <w:tcPr>
            <w:tcW w:w="6723" w:type="dxa"/>
          </w:tcPr>
          <w:p w14:paraId="0B432F80" w14:textId="140D2713" w:rsidR="00DC2CBE" w:rsidRDefault="00305FDF" w:rsidP="00DC2CB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We are not expecting the underlying, address-level data to be included within this study. </w:t>
            </w:r>
          </w:p>
          <w:p w14:paraId="7F31093A" w14:textId="77777777" w:rsidR="00AA17DE" w:rsidRDefault="00AA17DE" w:rsidP="00DC2CBE">
            <w:pPr>
              <w:rPr>
                <w:rFonts w:eastAsia="Times New Roman" w:cstheme="minorHAnsi"/>
              </w:rPr>
            </w:pPr>
          </w:p>
          <w:p w14:paraId="746915E5" w14:textId="49EE5F5A" w:rsidR="00AA17DE" w:rsidRDefault="00AF0D99" w:rsidP="00DC2CB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We are expecting data licenses to be needed, but we do not specify the </w:t>
            </w:r>
            <w:proofErr w:type="gramStart"/>
            <w:r w:rsidR="00772624">
              <w:rPr>
                <w:rFonts w:eastAsia="Times New Roman" w:cstheme="minorHAnsi"/>
              </w:rPr>
              <w:t>particular type of license/software/database</w:t>
            </w:r>
            <w:proofErr w:type="gramEnd"/>
            <w:r w:rsidR="00772624">
              <w:rPr>
                <w:rFonts w:eastAsia="Times New Roman" w:cstheme="minorHAnsi"/>
              </w:rPr>
              <w:t xml:space="preserve">. </w:t>
            </w:r>
          </w:p>
          <w:p w14:paraId="453834A6" w14:textId="77777777" w:rsidR="00772624" w:rsidRDefault="00772624" w:rsidP="00DC2CBE">
            <w:pPr>
              <w:rPr>
                <w:rFonts w:eastAsia="Times New Roman" w:cstheme="minorHAnsi"/>
              </w:rPr>
            </w:pPr>
          </w:p>
          <w:p w14:paraId="17A009F7" w14:textId="1E86EDF4" w:rsidR="00772624" w:rsidRDefault="007C4C1D" w:rsidP="00DC2CBE">
            <w:pPr>
              <w:rPr>
                <w:rFonts w:eastAsia="Times New Roman" w:cstheme="minorHAnsi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lang w:eastAsia="en-GB"/>
                <w14:ligatures w14:val="none"/>
              </w:rPr>
              <w:t>I</w:t>
            </w:r>
            <w:r w:rsidRPr="004907E2">
              <w:rPr>
                <w:rFonts w:eastAsia="Times New Roman" w:cstheme="minorHAnsi"/>
                <w:lang w:eastAsia="en-GB"/>
                <w14:ligatures w14:val="none"/>
              </w:rPr>
              <w:t xml:space="preserve">f the consultant </w:t>
            </w:r>
            <w:r w:rsidR="00772624">
              <w:rPr>
                <w:rFonts w:eastAsia="Times New Roman" w:cstheme="minorHAnsi"/>
                <w:lang w:eastAsia="en-GB"/>
                <w14:ligatures w14:val="none"/>
              </w:rPr>
              <w:t xml:space="preserve">would like to access </w:t>
            </w:r>
            <w:r w:rsidR="003F3BE0">
              <w:rPr>
                <w:rFonts w:eastAsia="Times New Roman" w:cstheme="minorHAnsi"/>
                <w:lang w:eastAsia="en-GB"/>
                <w14:ligatures w14:val="none"/>
              </w:rPr>
              <w:t>P</w:t>
            </w:r>
            <w:r w:rsidR="00772624">
              <w:rPr>
                <w:rFonts w:eastAsia="Times New Roman" w:cstheme="minorHAnsi"/>
                <w:lang w:eastAsia="en-GB"/>
                <w14:ligatures w14:val="none"/>
              </w:rPr>
              <w:t xml:space="preserve">arity </w:t>
            </w:r>
            <w:proofErr w:type="gramStart"/>
            <w:r w:rsidR="00772624">
              <w:rPr>
                <w:rFonts w:eastAsia="Times New Roman" w:cstheme="minorHAnsi"/>
                <w:lang w:eastAsia="en-GB"/>
                <w14:ligatures w14:val="none"/>
              </w:rPr>
              <w:t>data</w:t>
            </w:r>
            <w:proofErr w:type="gramEnd"/>
            <w:r w:rsidR="00772624">
              <w:rPr>
                <w:rFonts w:eastAsia="Times New Roman" w:cstheme="minorHAnsi"/>
                <w:lang w:eastAsia="en-GB"/>
                <w14:ligatures w14:val="none"/>
              </w:rPr>
              <w:t xml:space="preserve"> please allow £3k within the project budget to access through the local authorities</w:t>
            </w:r>
            <w:r w:rsidR="005F4735">
              <w:rPr>
                <w:rFonts w:eastAsia="Times New Roman" w:cstheme="minorHAnsi"/>
                <w:lang w:eastAsia="en-GB"/>
                <w14:ligatures w14:val="none"/>
              </w:rPr>
              <w:t xml:space="preserve"> (£1k for each local authority)</w:t>
            </w:r>
            <w:r w:rsidR="00772624">
              <w:rPr>
                <w:rFonts w:eastAsia="Times New Roman" w:cstheme="minorHAnsi"/>
                <w:lang w:eastAsia="en-GB"/>
                <w14:ligatures w14:val="none"/>
              </w:rPr>
              <w:t xml:space="preserve">. </w:t>
            </w:r>
            <w:r w:rsidR="003F3BE0">
              <w:rPr>
                <w:rFonts w:eastAsia="Times New Roman" w:cstheme="minorHAnsi"/>
                <w:lang w:eastAsia="en-GB"/>
                <w14:ligatures w14:val="none"/>
              </w:rPr>
              <w:t xml:space="preserve"> Cheshire West and East have the license but there would be an extra cost for Warrington Council which would be addressed separately </w:t>
            </w:r>
            <w:proofErr w:type="gramStart"/>
            <w:r w:rsidR="003F3BE0">
              <w:rPr>
                <w:rFonts w:eastAsia="Times New Roman" w:cstheme="minorHAnsi"/>
                <w:lang w:eastAsia="en-GB"/>
                <w14:ligatures w14:val="none"/>
              </w:rPr>
              <w:t>in the event that</w:t>
            </w:r>
            <w:proofErr w:type="gramEnd"/>
            <w:r w:rsidR="003F3BE0">
              <w:rPr>
                <w:rFonts w:eastAsia="Times New Roman" w:cstheme="minorHAnsi"/>
                <w:lang w:eastAsia="en-GB"/>
                <w14:ligatures w14:val="none"/>
              </w:rPr>
              <w:t xml:space="preserve"> this was needed.  </w:t>
            </w:r>
          </w:p>
          <w:p w14:paraId="37A29302" w14:textId="5440EAA5" w:rsidR="004907E2" w:rsidRPr="004907E2" w:rsidRDefault="004907E2" w:rsidP="003F3BE0">
            <w:pPr>
              <w:rPr>
                <w:rFonts w:cstheme="minorHAnsi"/>
              </w:rPr>
            </w:pPr>
          </w:p>
        </w:tc>
      </w:tr>
      <w:tr w:rsidR="004907E2" w:rsidRPr="004907E2" w14:paraId="5922FF41" w14:textId="77777777" w:rsidTr="004907E2">
        <w:tc>
          <w:tcPr>
            <w:tcW w:w="704" w:type="dxa"/>
          </w:tcPr>
          <w:p w14:paraId="420DA421" w14:textId="55CB25B7" w:rsidR="004907E2" w:rsidRPr="004907E2" w:rsidRDefault="004907E2">
            <w:pPr>
              <w:rPr>
                <w:rFonts w:cstheme="minorHAnsi"/>
              </w:rPr>
            </w:pPr>
            <w:r w:rsidRPr="004907E2">
              <w:rPr>
                <w:rFonts w:cstheme="minorHAnsi"/>
              </w:rPr>
              <w:t>3</w:t>
            </w:r>
          </w:p>
        </w:tc>
        <w:tc>
          <w:tcPr>
            <w:tcW w:w="6521" w:type="dxa"/>
          </w:tcPr>
          <w:p w14:paraId="4A5B47E2" w14:textId="562CD2DC" w:rsidR="004907E2" w:rsidRPr="004907E2" w:rsidRDefault="004907E2" w:rsidP="004907E2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907E2">
              <w:rPr>
                <w:rFonts w:cstheme="minorHAnsi"/>
                <w:kern w:val="0"/>
              </w:rPr>
              <w:t>Section 6.6 says ‘Full contract terms can be found with the terms and conditions</w:t>
            </w:r>
            <w:r>
              <w:rPr>
                <w:rFonts w:cstheme="minorHAnsi"/>
                <w:kern w:val="0"/>
              </w:rPr>
              <w:t xml:space="preserve"> </w:t>
            </w:r>
            <w:r w:rsidRPr="004907E2">
              <w:rPr>
                <w:rFonts w:cstheme="minorHAnsi"/>
                <w:kern w:val="0"/>
              </w:rPr>
              <w:t>(see Appendix 5)’. Appendix 5 references an attached document (in red) that holds</w:t>
            </w:r>
            <w:r>
              <w:rPr>
                <w:rFonts w:cstheme="minorHAnsi"/>
                <w:kern w:val="0"/>
              </w:rPr>
              <w:t xml:space="preserve"> </w:t>
            </w:r>
            <w:r w:rsidRPr="004907E2">
              <w:rPr>
                <w:rFonts w:cstheme="minorHAnsi"/>
                <w:kern w:val="0"/>
              </w:rPr>
              <w:t>the Contract Terms &amp; Conditions Agreement, which we cannot find in the</w:t>
            </w:r>
            <w:r>
              <w:rPr>
                <w:rFonts w:cstheme="minorHAnsi"/>
                <w:kern w:val="0"/>
              </w:rPr>
              <w:t xml:space="preserve"> </w:t>
            </w:r>
            <w:r w:rsidRPr="004907E2">
              <w:rPr>
                <w:rFonts w:cstheme="minorHAnsi"/>
                <w:kern w:val="0"/>
              </w:rPr>
              <w:t>document or on the website. Can you please point us to the Contract Terms &amp;</w:t>
            </w:r>
          </w:p>
          <w:p w14:paraId="205E4EBF" w14:textId="2AE172E8" w:rsidR="004907E2" w:rsidRPr="004907E2" w:rsidRDefault="004907E2" w:rsidP="004907E2">
            <w:pPr>
              <w:rPr>
                <w:rFonts w:cstheme="minorHAnsi"/>
              </w:rPr>
            </w:pPr>
            <w:r w:rsidRPr="004907E2">
              <w:rPr>
                <w:rFonts w:cstheme="minorHAnsi"/>
                <w:kern w:val="0"/>
              </w:rPr>
              <w:lastRenderedPageBreak/>
              <w:t>Conditions so we can perform our legal review?</w:t>
            </w:r>
          </w:p>
        </w:tc>
        <w:tc>
          <w:tcPr>
            <w:tcW w:w="6723" w:type="dxa"/>
          </w:tcPr>
          <w:p w14:paraId="5CFFB72C" w14:textId="3841D18A" w:rsidR="004907E2" w:rsidRPr="004907E2" w:rsidRDefault="004907E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Now uploaded to the website. </w:t>
            </w:r>
          </w:p>
        </w:tc>
      </w:tr>
      <w:tr w:rsidR="004907E2" w:rsidRPr="004907E2" w14:paraId="1D8F80BC" w14:textId="77777777" w:rsidTr="004907E2">
        <w:tc>
          <w:tcPr>
            <w:tcW w:w="704" w:type="dxa"/>
          </w:tcPr>
          <w:p w14:paraId="2EA74C83" w14:textId="336CB17B" w:rsidR="004907E2" w:rsidRPr="004907E2" w:rsidRDefault="005F473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521" w:type="dxa"/>
          </w:tcPr>
          <w:p w14:paraId="7922E98A" w14:textId="5F8185D2" w:rsidR="004907E2" w:rsidRDefault="004907E2" w:rsidP="004907E2">
            <w:pPr>
              <w:spacing w:after="160" w:line="259" w:lineRule="auto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W</w:t>
            </w:r>
            <w:r w:rsidRPr="004907E2">
              <w:rPr>
                <w:rFonts w:cstheme="minorHAnsi"/>
                <w:kern w:val="0"/>
              </w:rPr>
              <w:t>hether there is any possibility of an extension on the tender deadlin</w:t>
            </w:r>
            <w:r>
              <w:rPr>
                <w:rFonts w:cstheme="minorHAnsi"/>
                <w:kern w:val="0"/>
              </w:rPr>
              <w:t xml:space="preserve">e. </w:t>
            </w:r>
          </w:p>
          <w:p w14:paraId="632F06A5" w14:textId="3094D09C" w:rsidR="004907E2" w:rsidRPr="004907E2" w:rsidRDefault="004907E2" w:rsidP="004907E2">
            <w:pPr>
              <w:spacing w:after="160" w:line="259" w:lineRule="auto"/>
              <w:rPr>
                <w:rFonts w:cstheme="minorHAnsi"/>
              </w:rPr>
            </w:pPr>
            <w:r w:rsidRPr="004907E2">
              <w:rPr>
                <w:rFonts w:cstheme="minorHAnsi"/>
                <w:kern w:val="0"/>
              </w:rPr>
              <w:t>Section 5.1 states that the deadline is 09:00 hours on 2nd October 2023 whereas the Table in</w:t>
            </w:r>
            <w:r>
              <w:rPr>
                <w:rFonts w:cstheme="minorHAnsi"/>
                <w:kern w:val="0"/>
              </w:rPr>
              <w:t xml:space="preserve"> </w:t>
            </w:r>
            <w:r w:rsidRPr="004907E2">
              <w:rPr>
                <w:rFonts w:cstheme="minorHAnsi"/>
                <w:kern w:val="0"/>
              </w:rPr>
              <w:t>Section 5.3. states 12:00. Can you please clarify?</w:t>
            </w:r>
          </w:p>
        </w:tc>
        <w:tc>
          <w:tcPr>
            <w:tcW w:w="6723" w:type="dxa"/>
          </w:tcPr>
          <w:p w14:paraId="1E1EC59B" w14:textId="3CFDFD4A" w:rsidR="004907E2" w:rsidRPr="004907E2" w:rsidRDefault="004907E2">
            <w:pPr>
              <w:rPr>
                <w:rFonts w:cstheme="minorHAnsi"/>
              </w:rPr>
            </w:pPr>
            <w:r>
              <w:rPr>
                <w:rFonts w:cstheme="minorHAnsi"/>
              </w:rPr>
              <w:t>We will extend the deadline to 9am 3</w:t>
            </w:r>
            <w:r w:rsidRPr="004907E2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October. </w:t>
            </w:r>
          </w:p>
        </w:tc>
      </w:tr>
      <w:tr w:rsidR="004907E2" w:rsidRPr="004907E2" w14:paraId="40738F64" w14:textId="77777777" w:rsidTr="004907E2">
        <w:tc>
          <w:tcPr>
            <w:tcW w:w="704" w:type="dxa"/>
          </w:tcPr>
          <w:p w14:paraId="254A7355" w14:textId="6BE18470" w:rsidR="004907E2" w:rsidRPr="004907E2" w:rsidRDefault="005F473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521" w:type="dxa"/>
          </w:tcPr>
          <w:p w14:paraId="7594123D" w14:textId="67B81DF3" w:rsidR="004907E2" w:rsidRPr="004907E2" w:rsidRDefault="004907E2" w:rsidP="004907E2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907E2">
              <w:rPr>
                <w:rFonts w:cstheme="minorHAnsi"/>
                <w:kern w:val="0"/>
              </w:rPr>
              <w:t>For Questions 2 to 6 in Appendix 3, are bidders required to complete information in the tables</w:t>
            </w:r>
            <w:r>
              <w:rPr>
                <w:rFonts w:cstheme="minorHAnsi"/>
                <w:kern w:val="0"/>
              </w:rPr>
              <w:t xml:space="preserve"> </w:t>
            </w:r>
            <w:r w:rsidRPr="004907E2">
              <w:rPr>
                <w:rFonts w:cstheme="minorHAnsi"/>
                <w:kern w:val="0"/>
              </w:rPr>
              <w:t xml:space="preserve">provided or can they </w:t>
            </w:r>
            <w:proofErr w:type="gramStart"/>
            <w:r w:rsidRPr="004907E2">
              <w:rPr>
                <w:rFonts w:cstheme="minorHAnsi"/>
                <w:kern w:val="0"/>
              </w:rPr>
              <w:t>submitted</w:t>
            </w:r>
            <w:proofErr w:type="gramEnd"/>
            <w:r w:rsidRPr="004907E2">
              <w:rPr>
                <w:rFonts w:cstheme="minorHAnsi"/>
                <w:kern w:val="0"/>
              </w:rPr>
              <w:t xml:space="preserve"> in a separate document?</w:t>
            </w:r>
          </w:p>
          <w:p w14:paraId="34373ED9" w14:textId="3D4953B4" w:rsidR="004907E2" w:rsidRPr="004907E2" w:rsidRDefault="004907E2" w:rsidP="004907E2">
            <w:pPr>
              <w:rPr>
                <w:rFonts w:cstheme="minorHAnsi"/>
              </w:rPr>
            </w:pPr>
          </w:p>
        </w:tc>
        <w:tc>
          <w:tcPr>
            <w:tcW w:w="6723" w:type="dxa"/>
          </w:tcPr>
          <w:p w14:paraId="4672E2CC" w14:textId="0E5E4343" w:rsidR="004907E2" w:rsidRPr="004907E2" w:rsidRDefault="004907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These can be in the tables or submitted in a separate document </w:t>
            </w:r>
            <w:proofErr w:type="gramStart"/>
            <w:r>
              <w:rPr>
                <w:rFonts w:cstheme="minorHAnsi"/>
              </w:rPr>
              <w:t>as long as</w:t>
            </w:r>
            <w:proofErr w:type="gramEnd"/>
            <w:r>
              <w:rPr>
                <w:rFonts w:cstheme="minorHAnsi"/>
              </w:rPr>
              <w:t xml:space="preserve"> all of the required information is completed. </w:t>
            </w:r>
          </w:p>
        </w:tc>
      </w:tr>
      <w:tr w:rsidR="004907E2" w:rsidRPr="004907E2" w14:paraId="04B204BE" w14:textId="77777777" w:rsidTr="004907E2">
        <w:tc>
          <w:tcPr>
            <w:tcW w:w="704" w:type="dxa"/>
          </w:tcPr>
          <w:p w14:paraId="274F7C78" w14:textId="45A2A4D6" w:rsidR="004907E2" w:rsidRPr="004907E2" w:rsidRDefault="005F473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521" w:type="dxa"/>
          </w:tcPr>
          <w:p w14:paraId="2F66D080" w14:textId="3C6C8CF2" w:rsidR="004907E2" w:rsidRPr="004907E2" w:rsidRDefault="004907E2" w:rsidP="004907E2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907E2">
              <w:rPr>
                <w:rFonts w:cstheme="minorHAnsi"/>
                <w:kern w:val="0"/>
              </w:rPr>
              <w:t>Is there a word count/page limit for Questions 2-6 in Appendix 3?</w:t>
            </w:r>
          </w:p>
        </w:tc>
        <w:tc>
          <w:tcPr>
            <w:tcW w:w="6723" w:type="dxa"/>
          </w:tcPr>
          <w:p w14:paraId="16598E3A" w14:textId="659A335B" w:rsidR="004907E2" w:rsidRPr="004907E2" w:rsidRDefault="004907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is no word </w:t>
            </w:r>
            <w:proofErr w:type="gramStart"/>
            <w:r>
              <w:rPr>
                <w:rFonts w:cstheme="minorHAnsi"/>
              </w:rPr>
              <w:t>count</w:t>
            </w:r>
            <w:proofErr w:type="gramEnd"/>
            <w:r>
              <w:rPr>
                <w:rFonts w:cstheme="minorHAnsi"/>
              </w:rPr>
              <w:t xml:space="preserve"> but tenderers should use their judgement about the appropriate length of response. </w:t>
            </w:r>
          </w:p>
        </w:tc>
      </w:tr>
      <w:tr w:rsidR="005839C7" w:rsidRPr="004907E2" w14:paraId="4B30E956" w14:textId="77777777" w:rsidTr="004907E2">
        <w:tc>
          <w:tcPr>
            <w:tcW w:w="704" w:type="dxa"/>
          </w:tcPr>
          <w:p w14:paraId="20E8B58F" w14:textId="2E74750A" w:rsidR="005839C7" w:rsidRDefault="005839C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521" w:type="dxa"/>
          </w:tcPr>
          <w:p w14:paraId="1A89F037" w14:textId="5DDF8C9D" w:rsidR="005839C7" w:rsidRPr="004907E2" w:rsidRDefault="005839C7" w:rsidP="004907E2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t>Does your current tender include any lots or sub-lots related to IoT-based IES monitoring or tenant wellbeing monitoring solutions?</w:t>
            </w:r>
          </w:p>
        </w:tc>
        <w:tc>
          <w:tcPr>
            <w:tcW w:w="6723" w:type="dxa"/>
          </w:tcPr>
          <w:p w14:paraId="38D12979" w14:textId="578572F6" w:rsidR="005839C7" w:rsidRDefault="005839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It does not. </w:t>
            </w:r>
          </w:p>
        </w:tc>
      </w:tr>
      <w:tr w:rsidR="007A5A2F" w:rsidRPr="004907E2" w14:paraId="7290A1F4" w14:textId="77777777" w:rsidTr="004907E2">
        <w:tc>
          <w:tcPr>
            <w:tcW w:w="704" w:type="dxa"/>
          </w:tcPr>
          <w:p w14:paraId="121310CA" w14:textId="42425EB1" w:rsidR="007A5A2F" w:rsidRDefault="00E35035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521" w:type="dxa"/>
          </w:tcPr>
          <w:p w14:paraId="0077CE1C" w14:textId="67576523" w:rsidR="007A5A2F" w:rsidRPr="007A5A2F" w:rsidRDefault="007A5A2F" w:rsidP="007A5A2F">
            <w:pPr>
              <w:spacing w:after="160" w:line="259" w:lineRule="auto"/>
              <w:rPr>
                <w:rFonts w:eastAsia="Times New Roman"/>
              </w:rPr>
            </w:pPr>
            <w:r w:rsidRPr="007A5A2F">
              <w:rPr>
                <w:rFonts w:eastAsia="Times New Roman"/>
              </w:rPr>
              <w:t xml:space="preserve">Under point 1b in the project aims can I confirm if you would be looking for costings for retrofit scenarios. </w:t>
            </w:r>
          </w:p>
        </w:tc>
        <w:tc>
          <w:tcPr>
            <w:tcW w:w="6723" w:type="dxa"/>
          </w:tcPr>
          <w:p w14:paraId="6EA64AA9" w14:textId="77777777" w:rsidR="007A5A2F" w:rsidRDefault="007A5A2F">
            <w:pPr>
              <w:rPr>
                <w:rFonts w:eastAsia="Times New Roman"/>
              </w:rPr>
            </w:pPr>
            <w:r w:rsidRPr="007A5A2F">
              <w:rPr>
                <w:rFonts w:eastAsia="Times New Roman"/>
              </w:rPr>
              <w:t>Y</w:t>
            </w:r>
            <w:r w:rsidR="004674C3">
              <w:rPr>
                <w:rFonts w:eastAsia="Times New Roman"/>
              </w:rPr>
              <w:t>es</w:t>
            </w:r>
            <w:r w:rsidRPr="007A5A2F">
              <w:rPr>
                <w:rFonts w:eastAsia="Times New Roman"/>
              </w:rPr>
              <w:t xml:space="preserve">, </w:t>
            </w:r>
            <w:r w:rsidR="00CB4803">
              <w:rPr>
                <w:rFonts w:eastAsia="Times New Roman"/>
              </w:rPr>
              <w:t xml:space="preserve">tenderers should include the identification of </w:t>
            </w:r>
            <w:proofErr w:type="gramStart"/>
            <w:r w:rsidR="00CB4803">
              <w:rPr>
                <w:rFonts w:eastAsia="Times New Roman"/>
              </w:rPr>
              <w:t>a</w:t>
            </w:r>
            <w:r w:rsidRPr="007A5A2F">
              <w:rPr>
                <w:rFonts w:eastAsia="Times New Roman"/>
              </w:rPr>
              <w:t xml:space="preserve"> number of</w:t>
            </w:r>
            <w:proofErr w:type="gramEnd"/>
            <w:r w:rsidRPr="007A5A2F">
              <w:rPr>
                <w:rFonts w:eastAsia="Times New Roman"/>
              </w:rPr>
              <w:t xml:space="preserve"> scenarios including BAU and 2-3 additional, </w:t>
            </w:r>
            <w:r w:rsidR="00CB4803">
              <w:rPr>
                <w:rFonts w:eastAsia="Times New Roman"/>
              </w:rPr>
              <w:t>to be formulated with the project team</w:t>
            </w:r>
            <w:r w:rsidR="00E12594">
              <w:rPr>
                <w:rFonts w:eastAsia="Times New Roman"/>
              </w:rPr>
              <w:t>.  If budget and timescales allowed, we’d be looking</w:t>
            </w:r>
            <w:r w:rsidR="00CB4803">
              <w:rPr>
                <w:rFonts w:eastAsia="Times New Roman"/>
              </w:rPr>
              <w:t xml:space="preserve"> </w:t>
            </w:r>
            <w:r w:rsidR="00E12594">
              <w:rPr>
                <w:rFonts w:eastAsia="Times New Roman"/>
              </w:rPr>
              <w:t xml:space="preserve">to have these modelled </w:t>
            </w:r>
            <w:r w:rsidR="003D4FBF">
              <w:rPr>
                <w:rFonts w:eastAsia="Times New Roman"/>
              </w:rPr>
              <w:t xml:space="preserve">(or modelled </w:t>
            </w:r>
            <w:r w:rsidR="00D93CD6">
              <w:rPr>
                <w:rFonts w:eastAsia="Times New Roman"/>
              </w:rPr>
              <w:t>to a lesser degree</w:t>
            </w:r>
            <w:r w:rsidR="003D4FBF">
              <w:rPr>
                <w:rFonts w:eastAsia="Times New Roman"/>
              </w:rPr>
              <w:t>)</w:t>
            </w:r>
            <w:r w:rsidRPr="007A5A2F">
              <w:rPr>
                <w:rFonts w:eastAsia="Times New Roman"/>
              </w:rPr>
              <w:t xml:space="preserve"> – so that we understand</w:t>
            </w:r>
            <w:r w:rsidR="00E12594">
              <w:rPr>
                <w:rFonts w:eastAsia="Times New Roman"/>
              </w:rPr>
              <w:t xml:space="preserve"> (or begin to understand)</w:t>
            </w:r>
            <w:r w:rsidRPr="007A5A2F">
              <w:rPr>
                <w:rFonts w:eastAsia="Times New Roman"/>
              </w:rPr>
              <w:t xml:space="preserve"> the implications of </w:t>
            </w:r>
            <w:proofErr w:type="gramStart"/>
            <w:r w:rsidRPr="007A5A2F">
              <w:rPr>
                <w:rFonts w:eastAsia="Times New Roman"/>
              </w:rPr>
              <w:t>particular retrofit</w:t>
            </w:r>
            <w:proofErr w:type="gramEnd"/>
            <w:r w:rsidRPr="007A5A2F">
              <w:rPr>
                <w:rFonts w:eastAsia="Times New Roman"/>
              </w:rPr>
              <w:t xml:space="preserve"> strategies</w:t>
            </w:r>
            <w:r w:rsidR="00060287">
              <w:rPr>
                <w:rFonts w:eastAsia="Times New Roman"/>
              </w:rPr>
              <w:t xml:space="preserve"> including cost of intervention</w:t>
            </w:r>
            <w:r w:rsidRPr="007A5A2F">
              <w:rPr>
                <w:rFonts w:eastAsia="Times New Roman"/>
              </w:rPr>
              <w:t>.</w:t>
            </w:r>
            <w:r w:rsidR="00D93CD6">
              <w:rPr>
                <w:rFonts w:eastAsia="Times New Roman"/>
              </w:rPr>
              <w:t xml:space="preserve"> </w:t>
            </w:r>
          </w:p>
          <w:p w14:paraId="03E19CEA" w14:textId="77777777" w:rsidR="003F3BE0" w:rsidRDefault="003F3BE0">
            <w:pPr>
              <w:rPr>
                <w:rFonts w:eastAsia="Times New Roman"/>
              </w:rPr>
            </w:pPr>
          </w:p>
          <w:p w14:paraId="0F2AA88B" w14:textId="157BF8B8" w:rsidR="003F3BE0" w:rsidRPr="003F3BE0" w:rsidRDefault="003F3BE0">
            <w:pPr>
              <w:rPr>
                <w:rFonts w:eastAsia="Times New Roman" w:cstheme="minorHAnsi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lang w:eastAsia="en-GB"/>
                <w14:ligatures w14:val="none"/>
              </w:rPr>
              <w:t xml:space="preserve">We have been advised that Parity Projects can provide scenario modelling. </w:t>
            </w:r>
            <w:r w:rsidRPr="004907E2">
              <w:rPr>
                <w:rFonts w:eastAsia="Times New Roman" w:cstheme="minorHAnsi"/>
                <w:lang w:eastAsia="en-GB"/>
                <w14:ligatures w14:val="none"/>
              </w:rPr>
              <w:t>Scenario models are £1,500 for three Scenarios per local authority area</w:t>
            </w:r>
            <w:r>
              <w:rPr>
                <w:rFonts w:eastAsia="Times New Roman" w:cstheme="minorHAnsi"/>
                <w:lang w:eastAsia="en-GB"/>
                <w14:ligatures w14:val="none"/>
              </w:rPr>
              <w:t xml:space="preserve"> and a</w:t>
            </w:r>
            <w:r w:rsidRPr="004907E2">
              <w:rPr>
                <w:rFonts w:eastAsia="Times New Roman" w:cstheme="minorHAnsi"/>
                <w:lang w:eastAsia="en-GB"/>
                <w14:ligatures w14:val="none"/>
              </w:rPr>
              <w:t>dditional Scenarios can be added for £500 per local authority area</w:t>
            </w:r>
            <w:r>
              <w:rPr>
                <w:rFonts w:eastAsia="Times New Roman" w:cstheme="minorHAnsi"/>
                <w:lang w:eastAsia="en-GB"/>
                <w14:ligatures w14:val="none"/>
              </w:rPr>
              <w:t>,</w:t>
            </w:r>
            <w:r w:rsidRPr="004907E2">
              <w:rPr>
                <w:rFonts w:eastAsia="Times New Roman" w:cstheme="minorHAnsi"/>
                <w:lang w:eastAsia="en-GB"/>
                <w14:ligatures w14:val="none"/>
              </w:rPr>
              <w:t xml:space="preserve"> but the consultant may choose to do their own scenario modelling for this part of the project</w:t>
            </w:r>
            <w:r>
              <w:rPr>
                <w:rFonts w:eastAsia="Times New Roman" w:cstheme="minorHAnsi"/>
                <w:lang w:eastAsia="en-GB"/>
                <w14:ligatures w14:val="none"/>
              </w:rPr>
              <w:t xml:space="preserve">. </w:t>
            </w:r>
          </w:p>
        </w:tc>
      </w:tr>
      <w:tr w:rsidR="007A5A2F" w:rsidRPr="004907E2" w14:paraId="112F4327" w14:textId="77777777" w:rsidTr="004907E2">
        <w:tc>
          <w:tcPr>
            <w:tcW w:w="704" w:type="dxa"/>
          </w:tcPr>
          <w:p w14:paraId="4ADB15A4" w14:textId="0737743C" w:rsidR="007A5A2F" w:rsidRDefault="00E3503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6521" w:type="dxa"/>
          </w:tcPr>
          <w:p w14:paraId="271DDD50" w14:textId="6C2C0F46" w:rsidR="007A5A2F" w:rsidRPr="007A5A2F" w:rsidRDefault="007A5A2F" w:rsidP="007A5A2F">
            <w:pPr>
              <w:rPr>
                <w:rFonts w:eastAsia="Times New Roman"/>
                <w:color w:val="FF0000"/>
              </w:rPr>
            </w:pPr>
            <w:r w:rsidRPr="007A5A2F">
              <w:rPr>
                <w:rFonts w:eastAsia="Times New Roman"/>
              </w:rPr>
              <w:t xml:space="preserve">Will you be looking to bring in the innovative elements such as Time of Use Tariffs and EV charging into the retrofit intervention. </w:t>
            </w:r>
          </w:p>
          <w:p w14:paraId="51DA06B3" w14:textId="77777777" w:rsidR="007A5A2F" w:rsidRDefault="007A5A2F" w:rsidP="007A5A2F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6723" w:type="dxa"/>
          </w:tcPr>
          <w:p w14:paraId="343FDDDD" w14:textId="048AC91F" w:rsidR="007A5A2F" w:rsidRPr="007A5A2F" w:rsidRDefault="007A5A2F">
            <w:pPr>
              <w:rPr>
                <w:rFonts w:eastAsia="Times New Roman"/>
              </w:rPr>
            </w:pPr>
            <w:r w:rsidRPr="007A5A2F">
              <w:rPr>
                <w:rFonts w:eastAsia="Times New Roman"/>
              </w:rPr>
              <w:t>Y</w:t>
            </w:r>
            <w:r w:rsidR="004674C3">
              <w:rPr>
                <w:rFonts w:eastAsia="Times New Roman"/>
              </w:rPr>
              <w:t>es</w:t>
            </w:r>
            <w:r w:rsidRPr="007A5A2F">
              <w:rPr>
                <w:rFonts w:eastAsia="Times New Roman"/>
              </w:rPr>
              <w:t xml:space="preserve"> – all interventions and constraints should be included.</w:t>
            </w:r>
            <w:r w:rsidR="00271B1C">
              <w:rPr>
                <w:rFonts w:eastAsia="Times New Roman"/>
              </w:rPr>
              <w:t xml:space="preserve"> We’d look for the consultant to propose what would be reasonable. </w:t>
            </w:r>
          </w:p>
        </w:tc>
      </w:tr>
      <w:tr w:rsidR="007A5A2F" w:rsidRPr="004907E2" w14:paraId="34A320AD" w14:textId="77777777" w:rsidTr="004907E2">
        <w:tc>
          <w:tcPr>
            <w:tcW w:w="704" w:type="dxa"/>
          </w:tcPr>
          <w:p w14:paraId="3DF663D9" w14:textId="53949745" w:rsidR="007A5A2F" w:rsidRDefault="00E35035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521" w:type="dxa"/>
          </w:tcPr>
          <w:p w14:paraId="5D3ACF71" w14:textId="22847CF7" w:rsidR="007A5A2F" w:rsidRPr="007A5A2F" w:rsidRDefault="007A5A2F" w:rsidP="007A5A2F">
            <w:pPr>
              <w:rPr>
                <w:rFonts w:eastAsia="Times New Roman"/>
              </w:rPr>
            </w:pPr>
            <w:r w:rsidRPr="007A5A2F">
              <w:rPr>
                <w:rFonts w:eastAsia="Times New Roman"/>
              </w:rPr>
              <w:t xml:space="preserve">Under 1b in the project aims can we clarify if your carbon neutrality ambition is for each typology or for the entire LEP region. </w:t>
            </w:r>
          </w:p>
          <w:p w14:paraId="34350DCC" w14:textId="77777777" w:rsidR="007A5A2F" w:rsidRDefault="007A5A2F" w:rsidP="007A5A2F"/>
          <w:p w14:paraId="30615E10" w14:textId="77777777" w:rsidR="007A5A2F" w:rsidRDefault="007A5A2F" w:rsidP="004907E2">
            <w:pPr>
              <w:autoSpaceDE w:val="0"/>
              <w:autoSpaceDN w:val="0"/>
              <w:adjustRightInd w:val="0"/>
            </w:pPr>
          </w:p>
        </w:tc>
        <w:tc>
          <w:tcPr>
            <w:tcW w:w="6723" w:type="dxa"/>
          </w:tcPr>
          <w:p w14:paraId="22626AAD" w14:textId="09C54AE2" w:rsidR="007A5A2F" w:rsidRPr="007A5A2F" w:rsidRDefault="007A5A2F">
            <w:pPr>
              <w:rPr>
                <w:rFonts w:cstheme="minorHAnsi"/>
              </w:rPr>
            </w:pPr>
            <w:r w:rsidRPr="007A5A2F">
              <w:rPr>
                <w:rFonts w:eastAsia="Times New Roman"/>
              </w:rPr>
              <w:lastRenderedPageBreak/>
              <w:t xml:space="preserve">The entire region - the research should reflect the ambition by the sub-region to be net-zero by 2045 (as signed up by the individual </w:t>
            </w:r>
            <w:r w:rsidRPr="007A5A2F">
              <w:rPr>
                <w:rFonts w:eastAsia="Times New Roman"/>
              </w:rPr>
              <w:lastRenderedPageBreak/>
              <w:t xml:space="preserve">authorities), and the contribution that retrofit can make towards this goal alongside other </w:t>
            </w:r>
            <w:proofErr w:type="gramStart"/>
            <w:r w:rsidRPr="007A5A2F">
              <w:rPr>
                <w:rFonts w:eastAsia="Times New Roman"/>
              </w:rPr>
              <w:t>measures</w:t>
            </w:r>
            <w:r w:rsidR="00C64566">
              <w:rPr>
                <w:rFonts w:eastAsia="Times New Roman"/>
              </w:rPr>
              <w:t>, and</w:t>
            </w:r>
            <w:proofErr w:type="gramEnd"/>
            <w:r w:rsidR="00C64566">
              <w:rPr>
                <w:rFonts w:eastAsia="Times New Roman"/>
              </w:rPr>
              <w:t xml:space="preserve"> consider rural and urban areas. </w:t>
            </w:r>
            <w:r w:rsidR="008A1047">
              <w:rPr>
                <w:rFonts w:eastAsia="Times New Roman"/>
              </w:rPr>
              <w:t xml:space="preserve">It would also be useful to understand this per typology for each individual Local Authority area. </w:t>
            </w:r>
          </w:p>
        </w:tc>
      </w:tr>
    </w:tbl>
    <w:p w14:paraId="01DCB5B7" w14:textId="77777777" w:rsidR="004907E2" w:rsidRPr="004907E2" w:rsidRDefault="004907E2" w:rsidP="00E076B7">
      <w:pPr>
        <w:rPr>
          <w:rFonts w:cstheme="minorHAnsi"/>
        </w:rPr>
      </w:pPr>
    </w:p>
    <w:sectPr w:rsidR="004907E2" w:rsidRPr="004907E2" w:rsidSect="004907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CDE"/>
    <w:multiLevelType w:val="hybridMultilevel"/>
    <w:tmpl w:val="DB8631F4"/>
    <w:lvl w:ilvl="0" w:tplc="FFBA492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133A"/>
    <w:multiLevelType w:val="hybridMultilevel"/>
    <w:tmpl w:val="6B8E8458"/>
    <w:lvl w:ilvl="0" w:tplc="83FAA30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110F97"/>
    <w:multiLevelType w:val="hybridMultilevel"/>
    <w:tmpl w:val="ACCC995C"/>
    <w:lvl w:ilvl="0" w:tplc="F71C8FDE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588861">
    <w:abstractNumId w:val="1"/>
  </w:num>
  <w:num w:numId="2" w16cid:durableId="1465151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29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E2"/>
    <w:rsid w:val="00005525"/>
    <w:rsid w:val="000151AF"/>
    <w:rsid w:val="00060287"/>
    <w:rsid w:val="00131431"/>
    <w:rsid w:val="00271B1C"/>
    <w:rsid w:val="00305FDF"/>
    <w:rsid w:val="003A3048"/>
    <w:rsid w:val="003D4FBF"/>
    <w:rsid w:val="003F3BE0"/>
    <w:rsid w:val="004674C3"/>
    <w:rsid w:val="004907E2"/>
    <w:rsid w:val="005839C7"/>
    <w:rsid w:val="005F4735"/>
    <w:rsid w:val="00651276"/>
    <w:rsid w:val="00694DD7"/>
    <w:rsid w:val="006B674B"/>
    <w:rsid w:val="006F0718"/>
    <w:rsid w:val="00701D97"/>
    <w:rsid w:val="00706FCE"/>
    <w:rsid w:val="00772624"/>
    <w:rsid w:val="00781AF8"/>
    <w:rsid w:val="007A5A2F"/>
    <w:rsid w:val="007C4C1D"/>
    <w:rsid w:val="007C4DB0"/>
    <w:rsid w:val="008A1047"/>
    <w:rsid w:val="00920FF7"/>
    <w:rsid w:val="00953305"/>
    <w:rsid w:val="00A62ED3"/>
    <w:rsid w:val="00AA17DE"/>
    <w:rsid w:val="00AB1077"/>
    <w:rsid w:val="00AF0D99"/>
    <w:rsid w:val="00C64566"/>
    <w:rsid w:val="00CB4803"/>
    <w:rsid w:val="00CD0360"/>
    <w:rsid w:val="00D93CD6"/>
    <w:rsid w:val="00DC2CBE"/>
    <w:rsid w:val="00DE758C"/>
    <w:rsid w:val="00E076B7"/>
    <w:rsid w:val="00E12594"/>
    <w:rsid w:val="00E35035"/>
    <w:rsid w:val="00F54B2C"/>
    <w:rsid w:val="00F85FDC"/>
    <w:rsid w:val="00F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CC37"/>
  <w15:chartTrackingRefBased/>
  <w15:docId w15:val="{C3D075D9-C534-4A64-8F44-DF6EDF18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7E2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Crellin</dc:creator>
  <cp:keywords/>
  <dc:description/>
  <cp:lastModifiedBy>Melissa Crellin</cp:lastModifiedBy>
  <cp:revision>2</cp:revision>
  <dcterms:created xsi:type="dcterms:W3CDTF">2023-09-27T11:43:00Z</dcterms:created>
  <dcterms:modified xsi:type="dcterms:W3CDTF">2023-09-27T11:43:00Z</dcterms:modified>
</cp:coreProperties>
</file>