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463D8" w14:textId="77777777" w:rsidR="004A0F83" w:rsidRPr="00F02FD1" w:rsidRDefault="004A0F83" w:rsidP="004A0F83">
      <w:pPr>
        <w:jc w:val="center"/>
        <w:rPr>
          <w:lang w:eastAsia="en-GB"/>
        </w:rPr>
      </w:pPr>
      <w:r w:rsidRPr="00F02FD1">
        <w:rPr>
          <w:rFonts w:ascii="Arial" w:hAnsi="Arial" w:cs="Arial"/>
          <w:b/>
          <w:noProof/>
          <w:lang w:eastAsia="en-GB"/>
        </w:rPr>
        <w:drawing>
          <wp:inline distT="0" distB="0" distL="0" distR="0" wp14:anchorId="63A01FAD" wp14:editId="10EC19E0">
            <wp:extent cx="1190625" cy="1181100"/>
            <wp:effectExtent l="0" t="0" r="9525" b="0"/>
            <wp:docPr id="1" name="Picture 1" descr="U:\Logos\C&amp;WLEP LOGOS Oct 2015\LEP Logo -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Logos\C&amp;WLEP LOGOS Oct 2015\LEP Logo - B&amp;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0625" cy="1181100"/>
                    </a:xfrm>
                    <a:prstGeom prst="rect">
                      <a:avLst/>
                    </a:prstGeom>
                    <a:noFill/>
                    <a:ln>
                      <a:noFill/>
                    </a:ln>
                  </pic:spPr>
                </pic:pic>
              </a:graphicData>
            </a:graphic>
          </wp:inline>
        </w:drawing>
      </w:r>
    </w:p>
    <w:p w14:paraId="69773B85" w14:textId="77777777" w:rsidR="004A0F83" w:rsidRPr="00F02FD1" w:rsidRDefault="004A0F83" w:rsidP="004A0F83">
      <w:pPr>
        <w:rPr>
          <w:lang w:eastAsia="en-GB"/>
        </w:rPr>
      </w:pPr>
    </w:p>
    <w:p w14:paraId="1E33464B" w14:textId="77777777" w:rsidR="004A0F83" w:rsidRPr="004A0F83" w:rsidRDefault="004A0F83" w:rsidP="004A0F83">
      <w:pPr>
        <w:jc w:val="center"/>
        <w:rPr>
          <w:rFonts w:ascii="Arial" w:hAnsi="Arial" w:cs="Arial"/>
          <w:b/>
          <w:bCs/>
          <w:sz w:val="32"/>
        </w:rPr>
      </w:pPr>
      <w:r w:rsidRPr="004A0F83">
        <w:rPr>
          <w:rFonts w:ascii="Arial" w:hAnsi="Arial" w:cs="Arial"/>
          <w:b/>
          <w:bCs/>
          <w:sz w:val="32"/>
        </w:rPr>
        <w:t>Cheshire &amp; Warrington Local Enterprise Partnership</w:t>
      </w:r>
    </w:p>
    <w:p w14:paraId="301C7115" w14:textId="77777777" w:rsidR="004A0F83" w:rsidRPr="00BE1DB7" w:rsidRDefault="004A0F83" w:rsidP="004A0F83">
      <w:pPr>
        <w:jc w:val="center"/>
        <w:rPr>
          <w:rFonts w:ascii="Arial" w:hAnsi="Arial" w:cs="Arial"/>
          <w:b/>
          <w:bCs/>
          <w:sz w:val="32"/>
        </w:rPr>
      </w:pPr>
      <w:r w:rsidRPr="00BE1DB7">
        <w:rPr>
          <w:rFonts w:ascii="Arial" w:hAnsi="Arial" w:cs="Arial"/>
          <w:b/>
          <w:bCs/>
          <w:sz w:val="32"/>
        </w:rPr>
        <w:t>Performance and Investment Committee</w:t>
      </w:r>
    </w:p>
    <w:p w14:paraId="4E2AF132" w14:textId="77777777" w:rsidR="004A0F83" w:rsidRDefault="004A0F83" w:rsidP="004A0F83"/>
    <w:tbl>
      <w:tblPr>
        <w:tblW w:w="0" w:type="auto"/>
        <w:tblInd w:w="108" w:type="dxa"/>
        <w:tblBorders>
          <w:top w:val="thinThickSmallGap" w:sz="24" w:space="0" w:color="auto"/>
          <w:left w:val="thinThickSmallGap" w:sz="24" w:space="0" w:color="auto"/>
          <w:bottom w:val="thickThinSmallGap" w:sz="24" w:space="0" w:color="auto"/>
          <w:right w:val="thickThinSmallGap" w:sz="24" w:space="0" w:color="auto"/>
        </w:tblBorders>
        <w:shd w:val="clear" w:color="auto" w:fill="C0C0C0"/>
        <w:tblLook w:val="0000" w:firstRow="0" w:lastRow="0" w:firstColumn="0" w:lastColumn="0" w:noHBand="0" w:noVBand="0"/>
      </w:tblPr>
      <w:tblGrid>
        <w:gridCol w:w="4167"/>
        <w:gridCol w:w="4661"/>
      </w:tblGrid>
      <w:tr w:rsidR="004A0F83" w:rsidRPr="0067573C" w14:paraId="35283023" w14:textId="77777777" w:rsidTr="00C03A85">
        <w:tc>
          <w:tcPr>
            <w:tcW w:w="4167" w:type="dxa"/>
            <w:shd w:val="clear" w:color="auto" w:fill="C0C0C0"/>
          </w:tcPr>
          <w:p w14:paraId="6073D857" w14:textId="77071C24" w:rsidR="004A0F83" w:rsidRPr="004A0F83" w:rsidRDefault="004A0F83" w:rsidP="007F0C70">
            <w:pPr>
              <w:rPr>
                <w:rFonts w:ascii="Arial" w:hAnsi="Arial" w:cs="Arial"/>
                <w:b/>
              </w:rPr>
            </w:pPr>
            <w:r w:rsidRPr="004A0F83">
              <w:rPr>
                <w:rFonts w:ascii="Arial" w:hAnsi="Arial" w:cs="Arial"/>
                <w:b/>
              </w:rPr>
              <w:t>Title:</w:t>
            </w:r>
            <w:r w:rsidR="00A615DE">
              <w:rPr>
                <w:rFonts w:ascii="Arial" w:hAnsi="Arial" w:cs="Arial"/>
                <w:b/>
              </w:rPr>
              <w:t xml:space="preserve"> </w:t>
            </w:r>
            <w:r w:rsidR="007F202D">
              <w:rPr>
                <w:rFonts w:ascii="Arial" w:hAnsi="Arial" w:cs="Arial"/>
                <w:b/>
              </w:rPr>
              <w:t>Omega to Burtonwood Path</w:t>
            </w:r>
          </w:p>
        </w:tc>
        <w:tc>
          <w:tcPr>
            <w:tcW w:w="4661" w:type="dxa"/>
            <w:shd w:val="clear" w:color="auto" w:fill="C0C0C0"/>
          </w:tcPr>
          <w:p w14:paraId="573F5EE4" w14:textId="53B0EBAC" w:rsidR="004A0F83" w:rsidRPr="004A0F83" w:rsidRDefault="004A0F83" w:rsidP="007F0C70">
            <w:pPr>
              <w:rPr>
                <w:rFonts w:ascii="Arial" w:hAnsi="Arial" w:cs="Arial"/>
                <w:b/>
              </w:rPr>
            </w:pPr>
            <w:r w:rsidRPr="004A0F83">
              <w:rPr>
                <w:rFonts w:ascii="Arial" w:hAnsi="Arial" w:cs="Arial"/>
                <w:b/>
              </w:rPr>
              <w:t>Agenda item</w:t>
            </w:r>
            <w:r w:rsidR="002E2688">
              <w:rPr>
                <w:rFonts w:ascii="Arial" w:hAnsi="Arial" w:cs="Arial"/>
                <w:b/>
              </w:rPr>
              <w:t xml:space="preserve">: </w:t>
            </w:r>
            <w:r w:rsidR="007F202D">
              <w:rPr>
                <w:rFonts w:ascii="Arial" w:hAnsi="Arial" w:cs="Arial"/>
                <w:b/>
              </w:rPr>
              <w:t>4</w:t>
            </w:r>
          </w:p>
        </w:tc>
      </w:tr>
      <w:tr w:rsidR="004A0F83" w:rsidRPr="0067573C" w14:paraId="60FF87BE" w14:textId="77777777" w:rsidTr="00C03A85">
        <w:tc>
          <w:tcPr>
            <w:tcW w:w="4167" w:type="dxa"/>
            <w:shd w:val="clear" w:color="auto" w:fill="C0C0C0"/>
          </w:tcPr>
          <w:p w14:paraId="61CB8A5A" w14:textId="77777777" w:rsidR="004A0F83" w:rsidRPr="004A0F83" w:rsidRDefault="004A0F83" w:rsidP="007F0C70">
            <w:pPr>
              <w:rPr>
                <w:rFonts w:ascii="Arial" w:hAnsi="Arial" w:cs="Arial"/>
                <w:b/>
              </w:rPr>
            </w:pPr>
          </w:p>
        </w:tc>
        <w:tc>
          <w:tcPr>
            <w:tcW w:w="4661" w:type="dxa"/>
            <w:shd w:val="clear" w:color="auto" w:fill="C0C0C0"/>
          </w:tcPr>
          <w:p w14:paraId="58877E27" w14:textId="77777777" w:rsidR="004A0F83" w:rsidRPr="004A0F83" w:rsidRDefault="004A0F83" w:rsidP="007F0C70">
            <w:pPr>
              <w:rPr>
                <w:rFonts w:ascii="Arial" w:hAnsi="Arial" w:cs="Arial"/>
              </w:rPr>
            </w:pPr>
          </w:p>
        </w:tc>
      </w:tr>
      <w:tr w:rsidR="004A0F83" w:rsidRPr="0067573C" w14:paraId="3D3E6936" w14:textId="77777777" w:rsidTr="00C03A85">
        <w:tc>
          <w:tcPr>
            <w:tcW w:w="4167" w:type="dxa"/>
            <w:shd w:val="clear" w:color="auto" w:fill="C0C0C0"/>
          </w:tcPr>
          <w:p w14:paraId="46075B3D" w14:textId="77777777" w:rsidR="004A0F83" w:rsidRPr="004A0F83" w:rsidRDefault="004A0F83" w:rsidP="007F0C70">
            <w:pPr>
              <w:rPr>
                <w:rFonts w:ascii="Arial" w:hAnsi="Arial" w:cs="Arial"/>
                <w:b/>
              </w:rPr>
            </w:pPr>
            <w:r w:rsidRPr="004A0F83">
              <w:rPr>
                <w:rFonts w:ascii="Arial" w:hAnsi="Arial" w:cs="Arial"/>
                <w:b/>
              </w:rPr>
              <w:t>Prepared by: Rachel Brosnahan</w:t>
            </w:r>
          </w:p>
          <w:p w14:paraId="23441D7C" w14:textId="77777777" w:rsidR="004A0F83" w:rsidRPr="004A0F83" w:rsidRDefault="004A0F83" w:rsidP="007F0C70">
            <w:pPr>
              <w:rPr>
                <w:rFonts w:ascii="Arial" w:hAnsi="Arial" w:cs="Arial"/>
                <w:b/>
              </w:rPr>
            </w:pPr>
          </w:p>
        </w:tc>
        <w:tc>
          <w:tcPr>
            <w:tcW w:w="4661" w:type="dxa"/>
            <w:shd w:val="clear" w:color="auto" w:fill="C0C0C0"/>
          </w:tcPr>
          <w:p w14:paraId="072BEE39" w14:textId="761B9223" w:rsidR="004A0F83" w:rsidRPr="004A0F83" w:rsidRDefault="004A0F83" w:rsidP="007F0C70">
            <w:pPr>
              <w:rPr>
                <w:rFonts w:ascii="Arial" w:hAnsi="Arial" w:cs="Arial"/>
                <w:b/>
              </w:rPr>
            </w:pPr>
            <w:r w:rsidRPr="004A0F83">
              <w:rPr>
                <w:rFonts w:ascii="Arial" w:hAnsi="Arial" w:cs="Arial"/>
                <w:b/>
              </w:rPr>
              <w:t>Date of Meeting:</w:t>
            </w:r>
            <w:r w:rsidR="00C03A85">
              <w:rPr>
                <w:rFonts w:ascii="Arial" w:hAnsi="Arial" w:cs="Arial"/>
                <w:b/>
              </w:rPr>
              <w:t xml:space="preserve"> 19</w:t>
            </w:r>
            <w:r w:rsidR="00C03A85" w:rsidRPr="00C03A85">
              <w:rPr>
                <w:rFonts w:ascii="Arial" w:hAnsi="Arial" w:cs="Arial"/>
                <w:b/>
                <w:vertAlign w:val="superscript"/>
              </w:rPr>
              <w:t>th</w:t>
            </w:r>
            <w:r w:rsidR="00C03A85">
              <w:rPr>
                <w:rFonts w:ascii="Arial" w:hAnsi="Arial" w:cs="Arial"/>
                <w:b/>
              </w:rPr>
              <w:t xml:space="preserve"> September 2018</w:t>
            </w:r>
          </w:p>
          <w:p w14:paraId="3B5EC1D2" w14:textId="77777777" w:rsidR="004A0F83" w:rsidRPr="004A0F83" w:rsidRDefault="004A0F83" w:rsidP="007F0C70">
            <w:pPr>
              <w:rPr>
                <w:rFonts w:ascii="Arial" w:hAnsi="Arial" w:cs="Arial"/>
                <w:b/>
              </w:rPr>
            </w:pPr>
          </w:p>
        </w:tc>
      </w:tr>
      <w:tr w:rsidR="004A0F83" w:rsidRPr="0067573C" w14:paraId="6EDD6F39" w14:textId="77777777" w:rsidTr="00C03A85">
        <w:tc>
          <w:tcPr>
            <w:tcW w:w="4167" w:type="dxa"/>
            <w:shd w:val="clear" w:color="auto" w:fill="C0C0C0"/>
          </w:tcPr>
          <w:p w14:paraId="1E5700E1" w14:textId="77777777" w:rsidR="004A0F83" w:rsidRPr="0067573C" w:rsidRDefault="004A0F83" w:rsidP="007F0C70">
            <w:pPr>
              <w:rPr>
                <w:rFonts w:ascii="Arial" w:hAnsi="Arial" w:cs="Arial"/>
                <w:b/>
                <w:sz w:val="32"/>
                <w:szCs w:val="32"/>
              </w:rPr>
            </w:pPr>
          </w:p>
        </w:tc>
        <w:tc>
          <w:tcPr>
            <w:tcW w:w="4661" w:type="dxa"/>
            <w:shd w:val="clear" w:color="auto" w:fill="C0C0C0"/>
          </w:tcPr>
          <w:p w14:paraId="0AC97D6D" w14:textId="77777777" w:rsidR="004A0F83" w:rsidRPr="0067573C" w:rsidRDefault="004A0F83" w:rsidP="007F0C70">
            <w:pPr>
              <w:rPr>
                <w:rFonts w:ascii="Arial" w:hAnsi="Arial" w:cs="Arial"/>
                <w:b/>
                <w:sz w:val="32"/>
                <w:szCs w:val="32"/>
              </w:rPr>
            </w:pPr>
          </w:p>
        </w:tc>
      </w:tr>
    </w:tbl>
    <w:p w14:paraId="4000D97D" w14:textId="77777777" w:rsidR="00FC49F3" w:rsidRDefault="00C735C0"/>
    <w:p w14:paraId="7BA46CF1" w14:textId="31B73B00" w:rsidR="004A0F83" w:rsidRPr="005B069B" w:rsidRDefault="004A0F83" w:rsidP="004A0F83">
      <w:pPr>
        <w:pStyle w:val="ListParagraph"/>
        <w:numPr>
          <w:ilvl w:val="0"/>
          <w:numId w:val="2"/>
        </w:numPr>
        <w:rPr>
          <w:rFonts w:asciiTheme="minorHAnsi" w:hAnsiTheme="minorHAnsi" w:cstheme="minorHAnsi"/>
          <w:b/>
        </w:rPr>
      </w:pPr>
      <w:r w:rsidRPr="005B069B">
        <w:rPr>
          <w:rFonts w:asciiTheme="minorHAnsi" w:hAnsiTheme="minorHAnsi" w:cstheme="minorHAnsi"/>
          <w:b/>
        </w:rPr>
        <w:t>Executive Summary</w:t>
      </w:r>
    </w:p>
    <w:p w14:paraId="54E05F14" w14:textId="77777777" w:rsidR="003D14E2" w:rsidRDefault="003D14E2" w:rsidP="00FD7CF6">
      <w:pPr>
        <w:rPr>
          <w:rFonts w:asciiTheme="minorHAnsi" w:hAnsiTheme="minorHAnsi" w:cstheme="minorHAnsi"/>
        </w:rPr>
      </w:pPr>
    </w:p>
    <w:p w14:paraId="13232E60" w14:textId="6F507A02" w:rsidR="00001490" w:rsidRDefault="00544AFB" w:rsidP="00544AFB">
      <w:pPr>
        <w:ind w:left="360"/>
        <w:rPr>
          <w:rFonts w:asciiTheme="minorHAnsi" w:hAnsiTheme="minorHAnsi" w:cstheme="minorHAnsi"/>
        </w:rPr>
      </w:pPr>
      <w:r>
        <w:rPr>
          <w:rFonts w:asciiTheme="minorHAnsi" w:hAnsiTheme="minorHAnsi" w:cstheme="minorHAnsi"/>
        </w:rPr>
        <w:t>This is the first of the eight sustainable transport project</w:t>
      </w:r>
      <w:r w:rsidR="00FD7CF6">
        <w:rPr>
          <w:rFonts w:asciiTheme="minorHAnsi" w:hAnsiTheme="minorHAnsi" w:cstheme="minorHAnsi"/>
        </w:rPr>
        <w:t>s</w:t>
      </w:r>
      <w:r>
        <w:rPr>
          <w:rFonts w:asciiTheme="minorHAnsi" w:hAnsiTheme="minorHAnsi" w:cstheme="minorHAnsi"/>
        </w:rPr>
        <w:t xml:space="preserve"> to come forward for full approval</w:t>
      </w:r>
      <w:r w:rsidR="002962BE">
        <w:rPr>
          <w:rFonts w:asciiTheme="minorHAnsi" w:hAnsiTheme="minorHAnsi" w:cstheme="minorHAnsi"/>
        </w:rPr>
        <w:t xml:space="preserve"> from the £5m sustainable transport fund.</w:t>
      </w:r>
    </w:p>
    <w:p w14:paraId="03B17CD7" w14:textId="4B0EF76E" w:rsidR="00FD7CF6" w:rsidRDefault="00FD7CF6" w:rsidP="00544AFB">
      <w:pPr>
        <w:ind w:left="360"/>
        <w:rPr>
          <w:rFonts w:asciiTheme="minorHAnsi" w:hAnsiTheme="minorHAnsi" w:cstheme="minorHAnsi"/>
        </w:rPr>
      </w:pPr>
    </w:p>
    <w:p w14:paraId="18372110" w14:textId="026638E4" w:rsidR="00FD7CF6" w:rsidRDefault="00FD7CF6" w:rsidP="00544AFB">
      <w:pPr>
        <w:ind w:left="360"/>
        <w:rPr>
          <w:rFonts w:asciiTheme="minorHAnsi" w:hAnsiTheme="minorHAnsi" w:cstheme="minorHAnsi"/>
        </w:rPr>
      </w:pPr>
      <w:r>
        <w:rPr>
          <w:rFonts w:asciiTheme="minorHAnsi" w:hAnsiTheme="minorHAnsi" w:cstheme="minorHAnsi"/>
        </w:rPr>
        <w:t xml:space="preserve">The scheme is to provide a new cycle and footpath alongside a c class road, linking </w:t>
      </w:r>
      <w:r w:rsidR="00DF35C6">
        <w:rPr>
          <w:rFonts w:asciiTheme="minorHAnsi" w:hAnsiTheme="minorHAnsi" w:cstheme="minorHAnsi"/>
        </w:rPr>
        <w:t xml:space="preserve">the village of Burtonwood to m62 j8 and therefore proving a sustainable transport link into the Omega/Gemini sites which employ approximately </w:t>
      </w:r>
      <w:r w:rsidR="00D6276C">
        <w:rPr>
          <w:rFonts w:asciiTheme="minorHAnsi" w:hAnsiTheme="minorHAnsi" w:cstheme="minorHAnsi"/>
        </w:rPr>
        <w:t>14,</w:t>
      </w:r>
      <w:r w:rsidR="00DF35C6">
        <w:rPr>
          <w:rFonts w:asciiTheme="minorHAnsi" w:hAnsiTheme="minorHAnsi" w:cstheme="minorHAnsi"/>
        </w:rPr>
        <w:t>000 people and set to increase.</w:t>
      </w:r>
    </w:p>
    <w:p w14:paraId="2468D02B" w14:textId="6406D131" w:rsidR="00DF35C6" w:rsidRDefault="00DF35C6" w:rsidP="00544AFB">
      <w:pPr>
        <w:ind w:left="360"/>
        <w:rPr>
          <w:rFonts w:asciiTheme="minorHAnsi" w:hAnsiTheme="minorHAnsi" w:cstheme="minorHAnsi"/>
        </w:rPr>
      </w:pPr>
    </w:p>
    <w:p w14:paraId="74944141" w14:textId="477C9CE6" w:rsidR="00DF35C6" w:rsidRDefault="00DF35C6" w:rsidP="00544AFB">
      <w:pPr>
        <w:ind w:left="360"/>
        <w:rPr>
          <w:rFonts w:asciiTheme="minorHAnsi" w:hAnsiTheme="minorHAnsi" w:cstheme="minorHAnsi"/>
        </w:rPr>
      </w:pPr>
      <w:r>
        <w:rPr>
          <w:rFonts w:asciiTheme="minorHAnsi" w:hAnsiTheme="minorHAnsi" w:cstheme="minorHAnsi"/>
        </w:rPr>
        <w:t>The cost of the scheme is £1m of which a grant of £500k is being sought from LGF.</w:t>
      </w:r>
      <w:r w:rsidR="002962BE">
        <w:rPr>
          <w:rFonts w:asciiTheme="minorHAnsi" w:hAnsiTheme="minorHAnsi" w:cstheme="minorHAnsi"/>
        </w:rPr>
        <w:t xml:space="preserve">  The scheme will provide a safe and direct route for pedestrians and cyclists and minimise the number of crossing points.</w:t>
      </w:r>
    </w:p>
    <w:p w14:paraId="2C379C12" w14:textId="6C6B3215" w:rsidR="002962BE" w:rsidRDefault="002962BE" w:rsidP="00544AFB">
      <w:pPr>
        <w:ind w:left="360"/>
        <w:rPr>
          <w:rFonts w:asciiTheme="minorHAnsi" w:hAnsiTheme="minorHAnsi" w:cstheme="minorHAnsi"/>
        </w:rPr>
      </w:pPr>
    </w:p>
    <w:p w14:paraId="676D3DC5" w14:textId="64071CE2" w:rsidR="002962BE" w:rsidRDefault="002962BE" w:rsidP="00544AFB">
      <w:pPr>
        <w:ind w:left="360"/>
        <w:rPr>
          <w:rFonts w:asciiTheme="minorHAnsi" w:hAnsiTheme="minorHAnsi" w:cstheme="minorHAnsi"/>
        </w:rPr>
      </w:pPr>
      <w:r>
        <w:rPr>
          <w:rFonts w:asciiTheme="minorHAnsi" w:hAnsiTheme="minorHAnsi" w:cstheme="minorHAnsi"/>
        </w:rPr>
        <w:t>It is expected that the scheme will help to improve the health of residents by giving them a viable alternative to motorised transport for work and leisure.   The scheme will also help to reduce carbon emissions, traffic pollution and traffic noise in an area where car use i</w:t>
      </w:r>
      <w:r w:rsidR="00EA7546">
        <w:rPr>
          <w:rFonts w:asciiTheme="minorHAnsi" w:hAnsiTheme="minorHAnsi" w:cstheme="minorHAnsi"/>
        </w:rPr>
        <w:t>s</w:t>
      </w:r>
      <w:r>
        <w:rPr>
          <w:rFonts w:asciiTheme="minorHAnsi" w:hAnsiTheme="minorHAnsi" w:cstheme="minorHAnsi"/>
        </w:rPr>
        <w:t xml:space="preserve"> significantly above the national average; 70.6% compare to national average of 57.5%.</w:t>
      </w:r>
    </w:p>
    <w:p w14:paraId="4C6A63E1" w14:textId="28868C67" w:rsidR="00EA7546" w:rsidRDefault="00EA7546" w:rsidP="00544AFB">
      <w:pPr>
        <w:ind w:left="360"/>
        <w:rPr>
          <w:rFonts w:asciiTheme="minorHAnsi" w:hAnsiTheme="minorHAnsi" w:cstheme="minorHAnsi"/>
        </w:rPr>
      </w:pPr>
    </w:p>
    <w:p w14:paraId="4CC500D7" w14:textId="349BE7EB" w:rsidR="00EA7546" w:rsidRDefault="00EA7546" w:rsidP="00544AFB">
      <w:pPr>
        <w:ind w:left="360"/>
        <w:rPr>
          <w:rFonts w:asciiTheme="minorHAnsi" w:hAnsiTheme="minorHAnsi" w:cstheme="minorHAnsi"/>
        </w:rPr>
      </w:pPr>
      <w:r>
        <w:rPr>
          <w:rFonts w:asciiTheme="minorHAnsi" w:hAnsiTheme="minorHAnsi" w:cstheme="minorHAnsi"/>
        </w:rPr>
        <w:t xml:space="preserve">It is a </w:t>
      </w:r>
      <w:proofErr w:type="gramStart"/>
      <w:r>
        <w:rPr>
          <w:rFonts w:asciiTheme="minorHAnsi" w:hAnsiTheme="minorHAnsi" w:cstheme="minorHAnsi"/>
        </w:rPr>
        <w:t>well developed</w:t>
      </w:r>
      <w:proofErr w:type="gramEnd"/>
      <w:r>
        <w:rPr>
          <w:rFonts w:asciiTheme="minorHAnsi" w:hAnsiTheme="minorHAnsi" w:cstheme="minorHAnsi"/>
        </w:rPr>
        <w:t xml:space="preserve"> strategic scheme which will complement other work going on in the area and support two key employment sites.</w:t>
      </w:r>
    </w:p>
    <w:p w14:paraId="10B507D2" w14:textId="77777777" w:rsidR="002962BE" w:rsidRDefault="002962BE" w:rsidP="00544AFB">
      <w:pPr>
        <w:ind w:left="360"/>
        <w:rPr>
          <w:rFonts w:asciiTheme="minorHAnsi" w:hAnsiTheme="minorHAnsi" w:cstheme="minorHAnsi"/>
        </w:rPr>
      </w:pPr>
    </w:p>
    <w:p w14:paraId="07AB50FA" w14:textId="77777777" w:rsidR="00001490" w:rsidRDefault="00001490" w:rsidP="00001490">
      <w:pPr>
        <w:pStyle w:val="ListParagraph"/>
        <w:numPr>
          <w:ilvl w:val="0"/>
          <w:numId w:val="2"/>
        </w:numPr>
        <w:rPr>
          <w:rFonts w:asciiTheme="minorHAnsi" w:hAnsiTheme="minorHAnsi" w:cstheme="minorHAnsi"/>
        </w:rPr>
      </w:pPr>
      <w:r w:rsidRPr="00215B12">
        <w:rPr>
          <w:rFonts w:asciiTheme="minorHAnsi" w:hAnsiTheme="minorHAnsi" w:cstheme="minorHAnsi"/>
        </w:rPr>
        <w:t>Recommendations /Actions / Decisions required:</w:t>
      </w:r>
    </w:p>
    <w:p w14:paraId="524E3B92" w14:textId="77777777" w:rsidR="00001490" w:rsidRDefault="00001490" w:rsidP="00001490">
      <w:pPr>
        <w:rPr>
          <w:rFonts w:asciiTheme="minorHAnsi" w:hAnsiTheme="minorHAnsi" w:cstheme="minorHAnsi"/>
        </w:rPr>
      </w:pPr>
    </w:p>
    <w:p w14:paraId="1E502516" w14:textId="45DF4674" w:rsidR="00001490" w:rsidRPr="00F54ED7" w:rsidRDefault="00001490" w:rsidP="00001490">
      <w:pPr>
        <w:pStyle w:val="ListParagraph"/>
        <w:numPr>
          <w:ilvl w:val="0"/>
          <w:numId w:val="6"/>
        </w:numPr>
        <w:jc w:val="both"/>
        <w:rPr>
          <w:rFonts w:asciiTheme="minorHAnsi" w:hAnsiTheme="minorHAnsi" w:cstheme="minorHAnsi"/>
        </w:rPr>
      </w:pPr>
      <w:r w:rsidRPr="00F54ED7">
        <w:rPr>
          <w:rFonts w:asciiTheme="minorHAnsi" w:hAnsiTheme="minorHAnsi" w:cstheme="minorHAnsi"/>
          <w:b/>
        </w:rPr>
        <w:t>Note</w:t>
      </w:r>
      <w:r w:rsidRPr="00F54ED7">
        <w:rPr>
          <w:rFonts w:asciiTheme="minorHAnsi" w:hAnsiTheme="minorHAnsi" w:cstheme="minorHAnsi"/>
        </w:rPr>
        <w:t xml:space="preserve"> the contents of the Business Case</w:t>
      </w:r>
      <w:r w:rsidR="007F202D">
        <w:rPr>
          <w:rFonts w:asciiTheme="minorHAnsi" w:hAnsiTheme="minorHAnsi" w:cstheme="minorHAnsi"/>
        </w:rPr>
        <w:t xml:space="preserve"> and appraisal</w:t>
      </w:r>
      <w:r w:rsidRPr="00F54ED7">
        <w:rPr>
          <w:rFonts w:asciiTheme="minorHAnsi" w:hAnsiTheme="minorHAnsi" w:cstheme="minorHAnsi"/>
        </w:rPr>
        <w:t>;</w:t>
      </w:r>
    </w:p>
    <w:p w14:paraId="52BAE2A0" w14:textId="5B665420" w:rsidR="00B8573A" w:rsidRDefault="00001490" w:rsidP="00D46289">
      <w:pPr>
        <w:pStyle w:val="ListParagraph"/>
        <w:numPr>
          <w:ilvl w:val="2"/>
          <w:numId w:val="5"/>
        </w:numPr>
        <w:jc w:val="both"/>
        <w:rPr>
          <w:rFonts w:asciiTheme="minorHAnsi" w:hAnsiTheme="minorHAnsi" w:cstheme="minorHAnsi"/>
        </w:rPr>
      </w:pPr>
      <w:r w:rsidRPr="00FE6241">
        <w:rPr>
          <w:rFonts w:asciiTheme="minorHAnsi" w:hAnsiTheme="minorHAnsi" w:cstheme="minorHAnsi"/>
          <w:b/>
        </w:rPr>
        <w:t>Authorise</w:t>
      </w:r>
      <w:r w:rsidRPr="00FE6241">
        <w:rPr>
          <w:rFonts w:asciiTheme="minorHAnsi" w:hAnsiTheme="minorHAnsi" w:cstheme="minorHAnsi"/>
        </w:rPr>
        <w:t xml:space="preserve"> the LEP executive to issue a </w:t>
      </w:r>
      <w:r w:rsidR="005B069B">
        <w:rPr>
          <w:rFonts w:asciiTheme="minorHAnsi" w:hAnsiTheme="minorHAnsi" w:cstheme="minorHAnsi"/>
        </w:rPr>
        <w:t xml:space="preserve">final </w:t>
      </w:r>
      <w:r w:rsidRPr="00FE6241">
        <w:rPr>
          <w:rFonts w:asciiTheme="minorHAnsi" w:hAnsiTheme="minorHAnsi" w:cstheme="minorHAnsi"/>
        </w:rPr>
        <w:t>offer letter for up to</w:t>
      </w:r>
      <w:r w:rsidR="00D46289">
        <w:rPr>
          <w:rFonts w:asciiTheme="minorHAnsi" w:hAnsiTheme="minorHAnsi" w:cstheme="minorHAnsi"/>
        </w:rPr>
        <w:t xml:space="preserve"> £500k or 50% of the project costs, whichever is lower. Subject to:</w:t>
      </w:r>
    </w:p>
    <w:p w14:paraId="7FB64555" w14:textId="71FEEBBE" w:rsidR="00D46289" w:rsidRPr="00D46289" w:rsidRDefault="00D46289" w:rsidP="00D46289">
      <w:pPr>
        <w:pStyle w:val="ListParagraph"/>
        <w:numPr>
          <w:ilvl w:val="3"/>
          <w:numId w:val="5"/>
        </w:numPr>
        <w:jc w:val="both"/>
        <w:rPr>
          <w:rFonts w:asciiTheme="minorHAnsi" w:hAnsiTheme="minorHAnsi" w:cstheme="minorHAnsi"/>
        </w:rPr>
      </w:pPr>
      <w:r>
        <w:rPr>
          <w:rFonts w:asciiTheme="minorHAnsi" w:hAnsiTheme="minorHAnsi" w:cstheme="minorHAnsi"/>
          <w:b/>
        </w:rPr>
        <w:t>Confirmation that there is no state aid.</w:t>
      </w:r>
    </w:p>
    <w:p w14:paraId="5BA6C1AC" w14:textId="2717F3D7" w:rsidR="00D46289" w:rsidRDefault="00D46289" w:rsidP="00D46289">
      <w:pPr>
        <w:pStyle w:val="ListParagraph"/>
        <w:numPr>
          <w:ilvl w:val="3"/>
          <w:numId w:val="5"/>
        </w:numPr>
        <w:jc w:val="both"/>
        <w:rPr>
          <w:rFonts w:asciiTheme="minorHAnsi" w:hAnsiTheme="minorHAnsi" w:cstheme="minorHAnsi"/>
        </w:rPr>
      </w:pPr>
      <w:r>
        <w:rPr>
          <w:rFonts w:asciiTheme="minorHAnsi" w:hAnsiTheme="minorHAnsi" w:cstheme="minorHAnsi"/>
        </w:rPr>
        <w:t>Confirmation of the costs of the scheme following a tender process</w:t>
      </w:r>
    </w:p>
    <w:p w14:paraId="5CF2441D" w14:textId="481CCCEB" w:rsidR="00D46289" w:rsidRDefault="00D46289" w:rsidP="00D46289">
      <w:pPr>
        <w:pStyle w:val="ListParagraph"/>
        <w:numPr>
          <w:ilvl w:val="3"/>
          <w:numId w:val="5"/>
        </w:numPr>
        <w:jc w:val="both"/>
        <w:rPr>
          <w:rFonts w:asciiTheme="minorHAnsi" w:hAnsiTheme="minorHAnsi" w:cstheme="minorHAnsi"/>
        </w:rPr>
      </w:pPr>
      <w:r>
        <w:rPr>
          <w:rFonts w:asciiTheme="minorHAnsi" w:hAnsiTheme="minorHAnsi" w:cstheme="minorHAnsi"/>
        </w:rPr>
        <w:t>Submission of a project management plan.</w:t>
      </w:r>
    </w:p>
    <w:p w14:paraId="13EE37A1" w14:textId="77777777" w:rsidR="002962BE" w:rsidRPr="00D46289" w:rsidRDefault="002962BE" w:rsidP="002962BE">
      <w:pPr>
        <w:pStyle w:val="ListParagraph"/>
        <w:ind w:left="1728"/>
        <w:jc w:val="both"/>
        <w:rPr>
          <w:rFonts w:asciiTheme="minorHAnsi" w:hAnsiTheme="minorHAnsi" w:cstheme="minorHAnsi"/>
        </w:rPr>
      </w:pPr>
    </w:p>
    <w:p w14:paraId="632635A0" w14:textId="77777777" w:rsidR="00001490" w:rsidRPr="007A28DB" w:rsidRDefault="00001490" w:rsidP="00001490">
      <w:pPr>
        <w:pStyle w:val="ListParagraph"/>
        <w:numPr>
          <w:ilvl w:val="0"/>
          <w:numId w:val="8"/>
        </w:numPr>
        <w:rPr>
          <w:rFonts w:asciiTheme="minorHAnsi" w:hAnsiTheme="minorHAnsi" w:cstheme="minorHAnsi"/>
          <w:b/>
        </w:rPr>
      </w:pPr>
      <w:r w:rsidRPr="007A28DB">
        <w:rPr>
          <w:rFonts w:asciiTheme="minorHAnsi" w:hAnsiTheme="minorHAnsi" w:cstheme="minorHAnsi"/>
          <w:b/>
        </w:rPr>
        <w:t>Background</w:t>
      </w:r>
    </w:p>
    <w:p w14:paraId="58D07AFC" w14:textId="250CE227" w:rsidR="00001490" w:rsidRDefault="00001490" w:rsidP="00001490">
      <w:pPr>
        <w:pStyle w:val="ListParagraph"/>
        <w:ind w:left="360"/>
        <w:rPr>
          <w:rFonts w:asciiTheme="minorHAnsi" w:hAnsiTheme="minorHAnsi" w:cstheme="minorHAnsi"/>
        </w:rPr>
      </w:pPr>
    </w:p>
    <w:p w14:paraId="6A6A11E0" w14:textId="77777777" w:rsidR="002962BE" w:rsidRDefault="002962BE" w:rsidP="002962BE">
      <w:pPr>
        <w:ind w:left="360"/>
        <w:rPr>
          <w:rFonts w:asciiTheme="minorHAnsi" w:hAnsiTheme="minorHAnsi" w:cstheme="minorHAnsi"/>
        </w:rPr>
      </w:pPr>
      <w:r>
        <w:rPr>
          <w:rFonts w:asciiTheme="minorHAnsi" w:hAnsiTheme="minorHAnsi" w:cstheme="minorHAnsi"/>
        </w:rPr>
        <w:t xml:space="preserve">As part of the LGF round 3, the LEP was awarded £5m for sustainable transport schemes. As part of the initial bidding round the local authorities had put forward schemes for inclusion.  This added up to more than the total award.  There was an attempt to agree a split of funding between the authorities but after a prolonged period it was apparent that this wasn’t going to be possible and so we ran a closed application process to which only the three LAs were invited to submit applications.  </w:t>
      </w:r>
      <w:proofErr w:type="gramStart"/>
      <w:r>
        <w:rPr>
          <w:rFonts w:asciiTheme="minorHAnsi" w:hAnsiTheme="minorHAnsi" w:cstheme="minorHAnsi"/>
        </w:rPr>
        <w:t>Again</w:t>
      </w:r>
      <w:proofErr w:type="gramEnd"/>
      <w:r>
        <w:rPr>
          <w:rFonts w:asciiTheme="minorHAnsi" w:hAnsiTheme="minorHAnsi" w:cstheme="minorHAnsi"/>
        </w:rPr>
        <w:t xml:space="preserve"> the amount of funding sought was more than the amount available but a compromise was reached with each local authority and a programme of eight projects across Cheshire and Warrington were given indicative approval which was endorsed by the Local Transport Board.</w:t>
      </w:r>
    </w:p>
    <w:p w14:paraId="7A4CABDC" w14:textId="77777777" w:rsidR="002962BE" w:rsidRPr="00215B12" w:rsidRDefault="002962BE" w:rsidP="00001490">
      <w:pPr>
        <w:pStyle w:val="ListParagraph"/>
        <w:ind w:left="360"/>
        <w:rPr>
          <w:rFonts w:asciiTheme="minorHAnsi" w:hAnsiTheme="minorHAnsi" w:cstheme="minorHAnsi"/>
        </w:rPr>
      </w:pPr>
    </w:p>
    <w:p w14:paraId="510AF707" w14:textId="7D659961" w:rsidR="00001490" w:rsidRDefault="00001490" w:rsidP="00001490">
      <w:pPr>
        <w:pStyle w:val="ListParagraph"/>
        <w:numPr>
          <w:ilvl w:val="0"/>
          <w:numId w:val="8"/>
        </w:numPr>
        <w:rPr>
          <w:rFonts w:asciiTheme="minorHAnsi" w:hAnsiTheme="minorHAnsi" w:cstheme="minorHAnsi"/>
          <w:b/>
        </w:rPr>
      </w:pPr>
      <w:r w:rsidRPr="00001490">
        <w:rPr>
          <w:rFonts w:asciiTheme="minorHAnsi" w:hAnsiTheme="minorHAnsi" w:cstheme="minorHAnsi"/>
          <w:b/>
        </w:rPr>
        <w:t>Scheme Proposal</w:t>
      </w:r>
    </w:p>
    <w:p w14:paraId="50463589" w14:textId="7D189733" w:rsidR="002962BE" w:rsidRDefault="00D6276C" w:rsidP="002962BE">
      <w:pPr>
        <w:ind w:left="360"/>
        <w:rPr>
          <w:rFonts w:asciiTheme="minorHAnsi" w:hAnsiTheme="minorHAnsi" w:cstheme="minorHAnsi"/>
        </w:rPr>
      </w:pPr>
      <w:r>
        <w:rPr>
          <w:rFonts w:asciiTheme="minorHAnsi" w:hAnsiTheme="minorHAnsi" w:cstheme="minorHAnsi"/>
        </w:rPr>
        <w:t xml:space="preserve">The </w:t>
      </w:r>
      <w:r w:rsidR="002962BE">
        <w:rPr>
          <w:rFonts w:asciiTheme="minorHAnsi" w:hAnsiTheme="minorHAnsi" w:cstheme="minorHAnsi"/>
        </w:rPr>
        <w:t>scheme is to provide a new cycle and footpath linking the village of Burtonwood to m62 j8 and therefore proving a sustainable transport link into the Omega/Gemini sites which employ approximately 7000 people and set to increase.</w:t>
      </w:r>
    </w:p>
    <w:p w14:paraId="336D8606" w14:textId="0BBB6FD2" w:rsidR="00D6276C" w:rsidRDefault="00D6276C" w:rsidP="002962BE">
      <w:pPr>
        <w:ind w:left="360"/>
        <w:rPr>
          <w:rFonts w:asciiTheme="minorHAnsi" w:hAnsiTheme="minorHAnsi" w:cstheme="minorHAnsi"/>
        </w:rPr>
      </w:pPr>
    </w:p>
    <w:p w14:paraId="2CB3AD72" w14:textId="50EB760C" w:rsidR="00001490" w:rsidRDefault="00D6276C" w:rsidP="00D6276C">
      <w:pPr>
        <w:ind w:left="360"/>
        <w:rPr>
          <w:rFonts w:asciiTheme="minorHAnsi" w:hAnsiTheme="minorHAnsi" w:cstheme="minorHAnsi"/>
        </w:rPr>
      </w:pPr>
      <w:r>
        <w:rPr>
          <w:rFonts w:asciiTheme="minorHAnsi" w:hAnsiTheme="minorHAnsi" w:cstheme="minorHAnsi"/>
        </w:rPr>
        <w:t>The scheme is one of three sustainable transport schemes in Warrington that have been given indicative approval.  The project is expected to have health and economic benefits, by providing a safe alternative to car use and helping to connect people to employment and leisure facilities, reducing congestion and pollution.</w:t>
      </w:r>
    </w:p>
    <w:p w14:paraId="741C96B4" w14:textId="07CE6A42" w:rsidR="00AE3967" w:rsidRDefault="00AE3967" w:rsidP="00D6276C">
      <w:pPr>
        <w:ind w:left="360"/>
        <w:rPr>
          <w:rFonts w:asciiTheme="minorHAnsi" w:hAnsiTheme="minorHAnsi" w:cstheme="minorHAnsi"/>
        </w:rPr>
      </w:pPr>
    </w:p>
    <w:p w14:paraId="14CF2AFD" w14:textId="14CF5D51" w:rsidR="00AE3967" w:rsidRDefault="00AE3967" w:rsidP="00D6276C">
      <w:pPr>
        <w:ind w:left="360"/>
        <w:rPr>
          <w:rFonts w:asciiTheme="minorHAnsi" w:hAnsiTheme="minorHAnsi" w:cstheme="minorHAnsi"/>
        </w:rPr>
      </w:pPr>
      <w:r>
        <w:rPr>
          <w:rFonts w:asciiTheme="minorHAnsi" w:hAnsiTheme="minorHAnsi" w:cstheme="minorHAnsi"/>
        </w:rPr>
        <w:t>Consultation has been carried out with stakeholders and this has helped to influence the design of the scheme.  Letters of support for the scheme have been provided. Further consultation will be carried out prior to starting work to keep local people informed.</w:t>
      </w:r>
    </w:p>
    <w:p w14:paraId="01F0D4DE" w14:textId="77777777" w:rsidR="00001490" w:rsidRDefault="00001490" w:rsidP="00001490">
      <w:pPr>
        <w:rPr>
          <w:rFonts w:asciiTheme="minorHAnsi" w:hAnsiTheme="minorHAnsi" w:cstheme="minorHAnsi"/>
          <w:b/>
        </w:rPr>
      </w:pPr>
    </w:p>
    <w:p w14:paraId="293FF2B5" w14:textId="218B8DEA" w:rsidR="002E2688" w:rsidRPr="00AE3967" w:rsidRDefault="002E2688" w:rsidP="00001490">
      <w:pPr>
        <w:pStyle w:val="ListParagraph"/>
        <w:numPr>
          <w:ilvl w:val="1"/>
          <w:numId w:val="8"/>
        </w:numPr>
        <w:rPr>
          <w:rFonts w:asciiTheme="minorHAnsi" w:hAnsiTheme="minorHAnsi" w:cstheme="minorHAnsi"/>
        </w:rPr>
      </w:pPr>
      <w:r w:rsidRPr="00001490">
        <w:rPr>
          <w:rFonts w:asciiTheme="minorHAnsi" w:hAnsiTheme="minorHAnsi" w:cstheme="minorHAnsi"/>
          <w:b/>
        </w:rPr>
        <w:t>Delivery Timetable</w:t>
      </w:r>
    </w:p>
    <w:p w14:paraId="01D00E32" w14:textId="09EFFC27" w:rsidR="00AE3967" w:rsidRDefault="00AE3967" w:rsidP="00AE3967">
      <w:pPr>
        <w:ind w:left="360"/>
        <w:rPr>
          <w:rFonts w:asciiTheme="minorHAnsi" w:hAnsiTheme="minorHAnsi" w:cstheme="minorHAnsi"/>
        </w:rPr>
      </w:pPr>
      <w:r>
        <w:rPr>
          <w:rFonts w:asciiTheme="minorHAnsi" w:hAnsiTheme="minorHAnsi" w:cstheme="minorHAnsi"/>
        </w:rPr>
        <w:t>The timescales for delivery will be confirmed following a tendering process.</w:t>
      </w:r>
    </w:p>
    <w:p w14:paraId="56A90942" w14:textId="77777777" w:rsidR="00EA7546" w:rsidRPr="00AE3967" w:rsidRDefault="00EA7546" w:rsidP="00AE3967">
      <w:pPr>
        <w:ind w:left="360"/>
        <w:rPr>
          <w:rFonts w:asciiTheme="minorHAnsi" w:hAnsiTheme="minorHAnsi" w:cstheme="minorHAnsi"/>
        </w:rPr>
      </w:pPr>
    </w:p>
    <w:p w14:paraId="371E8CC7" w14:textId="22500216" w:rsidR="00D6276C" w:rsidRPr="00EA7546" w:rsidRDefault="00D6276C" w:rsidP="00001490">
      <w:pPr>
        <w:pStyle w:val="ListParagraph"/>
        <w:numPr>
          <w:ilvl w:val="1"/>
          <w:numId w:val="8"/>
        </w:numPr>
        <w:rPr>
          <w:rFonts w:asciiTheme="minorHAnsi" w:hAnsiTheme="minorHAnsi" w:cstheme="minorHAnsi"/>
          <w:b/>
        </w:rPr>
      </w:pPr>
      <w:r w:rsidRPr="00EA7546">
        <w:rPr>
          <w:rFonts w:asciiTheme="minorHAnsi" w:hAnsiTheme="minorHAnsi" w:cstheme="minorHAnsi"/>
          <w:b/>
        </w:rPr>
        <w:t>Outputs</w:t>
      </w:r>
    </w:p>
    <w:p w14:paraId="726CC84D" w14:textId="48570C0A" w:rsidR="00D6276C" w:rsidRDefault="00D6276C" w:rsidP="00D6276C">
      <w:pPr>
        <w:ind w:left="360"/>
        <w:rPr>
          <w:rFonts w:asciiTheme="minorHAnsi" w:hAnsiTheme="minorHAnsi" w:cstheme="minorHAnsi"/>
        </w:rPr>
      </w:pPr>
      <w:r>
        <w:rPr>
          <w:rFonts w:asciiTheme="minorHAnsi" w:hAnsiTheme="minorHAnsi" w:cstheme="minorHAnsi"/>
        </w:rPr>
        <w:t>The scheme is expected to increase GVA per annum by £1.18m.</w:t>
      </w:r>
      <w:r w:rsidR="00AE3967">
        <w:rPr>
          <w:rFonts w:asciiTheme="minorHAnsi" w:hAnsiTheme="minorHAnsi" w:cstheme="minorHAnsi"/>
        </w:rPr>
        <w:t xml:space="preserve">  The scheme has an overall BCR of 4.57 which represents very high value for money.  This is based on monetising the health and mortality benefits, decongestion, environmental benefits and reduction in accidents.  </w:t>
      </w:r>
    </w:p>
    <w:p w14:paraId="3E42177D" w14:textId="088BECF5" w:rsidR="00300FA3" w:rsidRDefault="00300FA3" w:rsidP="00D6276C">
      <w:pPr>
        <w:ind w:left="360"/>
        <w:rPr>
          <w:rFonts w:asciiTheme="minorHAnsi" w:hAnsiTheme="minorHAnsi" w:cstheme="minorHAnsi"/>
        </w:rPr>
      </w:pPr>
    </w:p>
    <w:p w14:paraId="7B0E1E9C" w14:textId="15D3A837" w:rsidR="00300FA3" w:rsidRPr="00D6276C" w:rsidRDefault="00300FA3" w:rsidP="00D6276C">
      <w:pPr>
        <w:ind w:left="360"/>
        <w:rPr>
          <w:rFonts w:asciiTheme="minorHAnsi" w:hAnsiTheme="minorHAnsi" w:cstheme="minorHAnsi"/>
        </w:rPr>
      </w:pPr>
      <w:r>
        <w:rPr>
          <w:rFonts w:asciiTheme="minorHAnsi" w:hAnsiTheme="minorHAnsi" w:cstheme="minorHAnsi"/>
        </w:rPr>
        <w:t xml:space="preserve">The number of users will </w:t>
      </w:r>
      <w:r w:rsidR="00C735C0">
        <w:rPr>
          <w:rFonts w:asciiTheme="minorHAnsi" w:hAnsiTheme="minorHAnsi" w:cstheme="minorHAnsi"/>
        </w:rPr>
        <w:t>b</w:t>
      </w:r>
      <w:r>
        <w:rPr>
          <w:rFonts w:asciiTheme="minorHAnsi" w:hAnsiTheme="minorHAnsi" w:cstheme="minorHAnsi"/>
        </w:rPr>
        <w:t>e measured by the installation of automatic traffic counters as part of the scheme</w:t>
      </w:r>
      <w:r w:rsidR="00EA7546">
        <w:rPr>
          <w:rFonts w:asciiTheme="minorHAnsi" w:hAnsiTheme="minorHAnsi" w:cstheme="minorHAnsi"/>
        </w:rPr>
        <w:t xml:space="preserve"> design for cycle counts and will be included in the council’s annual pedestrian and cycle count programme.</w:t>
      </w:r>
    </w:p>
    <w:p w14:paraId="67EE6D12" w14:textId="3E160B79" w:rsidR="004A0F83" w:rsidRPr="00001490" w:rsidRDefault="004A0F83" w:rsidP="00001490">
      <w:pPr>
        <w:rPr>
          <w:rFonts w:asciiTheme="minorHAnsi" w:hAnsiTheme="minorHAnsi" w:cstheme="minorHAnsi"/>
        </w:rPr>
      </w:pPr>
    </w:p>
    <w:p w14:paraId="40DB32F1" w14:textId="36B63125" w:rsidR="004A0F83" w:rsidRDefault="004A0F83" w:rsidP="00EA7546">
      <w:pPr>
        <w:pStyle w:val="ListParagraph"/>
        <w:numPr>
          <w:ilvl w:val="0"/>
          <w:numId w:val="10"/>
        </w:numPr>
        <w:rPr>
          <w:rFonts w:asciiTheme="minorHAnsi" w:hAnsiTheme="minorHAnsi" w:cstheme="minorHAnsi"/>
          <w:b/>
        </w:rPr>
      </w:pPr>
      <w:r w:rsidRPr="0065095A">
        <w:rPr>
          <w:rFonts w:asciiTheme="minorHAnsi" w:hAnsiTheme="minorHAnsi" w:cstheme="minorHAnsi"/>
          <w:b/>
        </w:rPr>
        <w:t>Financial Summary</w:t>
      </w:r>
    </w:p>
    <w:p w14:paraId="06881E0E" w14:textId="59CD6C1C" w:rsidR="00AE3967" w:rsidRPr="00AE3967" w:rsidRDefault="00AE3967" w:rsidP="00EA7546">
      <w:pPr>
        <w:pStyle w:val="ListParagraph"/>
        <w:numPr>
          <w:ilvl w:val="1"/>
          <w:numId w:val="10"/>
        </w:numPr>
        <w:rPr>
          <w:rFonts w:asciiTheme="minorHAnsi" w:hAnsiTheme="minorHAnsi" w:cstheme="minorHAnsi"/>
        </w:rPr>
      </w:pPr>
      <w:r w:rsidRPr="00AE3967">
        <w:rPr>
          <w:rFonts w:asciiTheme="minorHAnsi" w:hAnsiTheme="minorHAnsi" w:cstheme="minorHAnsi"/>
        </w:rPr>
        <w:t>The scheme costs are £1m and are being funded as follows:</w:t>
      </w:r>
    </w:p>
    <w:tbl>
      <w:tblPr>
        <w:tblStyle w:val="TableGrid"/>
        <w:tblW w:w="0" w:type="auto"/>
        <w:jc w:val="center"/>
        <w:tblLook w:val="04A0" w:firstRow="1" w:lastRow="0" w:firstColumn="1" w:lastColumn="0" w:noHBand="0" w:noVBand="1"/>
      </w:tblPr>
      <w:tblGrid>
        <w:gridCol w:w="2978"/>
        <w:gridCol w:w="1432"/>
      </w:tblGrid>
      <w:tr w:rsidR="00AE3967" w:rsidRPr="00AE3967" w14:paraId="24AC9BAF" w14:textId="77777777" w:rsidTr="00AE3967">
        <w:trPr>
          <w:jc w:val="center"/>
        </w:trPr>
        <w:tc>
          <w:tcPr>
            <w:tcW w:w="2978" w:type="dxa"/>
          </w:tcPr>
          <w:p w14:paraId="1804FD5A" w14:textId="186C804B" w:rsidR="00AE3967" w:rsidRPr="00AE3967" w:rsidRDefault="00AE3967" w:rsidP="00AE3967">
            <w:pPr>
              <w:pStyle w:val="ListParagraph"/>
              <w:ind w:left="0"/>
              <w:rPr>
                <w:rFonts w:asciiTheme="minorHAnsi" w:hAnsiTheme="minorHAnsi" w:cstheme="minorHAnsi"/>
                <w:b/>
              </w:rPr>
            </w:pPr>
            <w:r w:rsidRPr="00AE3967">
              <w:rPr>
                <w:rFonts w:asciiTheme="minorHAnsi" w:hAnsiTheme="minorHAnsi" w:cstheme="minorHAnsi"/>
                <w:b/>
              </w:rPr>
              <w:t>Funder £</w:t>
            </w:r>
          </w:p>
        </w:tc>
        <w:tc>
          <w:tcPr>
            <w:tcW w:w="1432" w:type="dxa"/>
          </w:tcPr>
          <w:p w14:paraId="12781AE6" w14:textId="1B26446E" w:rsidR="00AE3967" w:rsidRPr="00AE3967" w:rsidRDefault="00AE3967" w:rsidP="00AE3967">
            <w:pPr>
              <w:pStyle w:val="ListParagraph"/>
              <w:ind w:left="0"/>
              <w:rPr>
                <w:rFonts w:asciiTheme="minorHAnsi" w:hAnsiTheme="minorHAnsi" w:cstheme="minorHAnsi"/>
                <w:b/>
              </w:rPr>
            </w:pPr>
            <w:r w:rsidRPr="00AE3967">
              <w:rPr>
                <w:rFonts w:asciiTheme="minorHAnsi" w:hAnsiTheme="minorHAnsi" w:cstheme="minorHAnsi"/>
                <w:b/>
              </w:rPr>
              <w:t>Amount £</w:t>
            </w:r>
          </w:p>
        </w:tc>
      </w:tr>
      <w:tr w:rsidR="00AE3967" w:rsidRPr="00AE3967" w14:paraId="7A74E91A" w14:textId="77777777" w:rsidTr="00AE3967">
        <w:trPr>
          <w:jc w:val="center"/>
        </w:trPr>
        <w:tc>
          <w:tcPr>
            <w:tcW w:w="2978" w:type="dxa"/>
          </w:tcPr>
          <w:p w14:paraId="0CDD4FE9" w14:textId="050D68E9" w:rsidR="00AE3967" w:rsidRPr="00AE3967" w:rsidRDefault="00AE3967" w:rsidP="00AE3967">
            <w:pPr>
              <w:pStyle w:val="ListParagraph"/>
              <w:ind w:left="0"/>
              <w:rPr>
                <w:rFonts w:asciiTheme="minorHAnsi" w:hAnsiTheme="minorHAnsi" w:cstheme="minorHAnsi"/>
              </w:rPr>
            </w:pPr>
            <w:r w:rsidRPr="00AE3967">
              <w:rPr>
                <w:rFonts w:asciiTheme="minorHAnsi" w:hAnsiTheme="minorHAnsi" w:cstheme="minorHAnsi"/>
              </w:rPr>
              <w:t>LGF3</w:t>
            </w:r>
          </w:p>
        </w:tc>
        <w:tc>
          <w:tcPr>
            <w:tcW w:w="1432" w:type="dxa"/>
          </w:tcPr>
          <w:p w14:paraId="214F4E20" w14:textId="0D5ABA65" w:rsidR="00AE3967" w:rsidRPr="00AE3967" w:rsidRDefault="00AE3967" w:rsidP="00AE3967">
            <w:pPr>
              <w:pStyle w:val="ListParagraph"/>
              <w:ind w:left="0"/>
              <w:jc w:val="right"/>
              <w:rPr>
                <w:rFonts w:asciiTheme="minorHAnsi" w:hAnsiTheme="minorHAnsi" w:cstheme="minorHAnsi"/>
              </w:rPr>
            </w:pPr>
            <w:r w:rsidRPr="00AE3967">
              <w:rPr>
                <w:rFonts w:asciiTheme="minorHAnsi" w:hAnsiTheme="minorHAnsi" w:cstheme="minorHAnsi"/>
              </w:rPr>
              <w:t>500,000</w:t>
            </w:r>
          </w:p>
        </w:tc>
      </w:tr>
      <w:tr w:rsidR="00AE3967" w:rsidRPr="00AE3967" w14:paraId="4DFA3B31" w14:textId="77777777" w:rsidTr="00AE3967">
        <w:trPr>
          <w:jc w:val="center"/>
        </w:trPr>
        <w:tc>
          <w:tcPr>
            <w:tcW w:w="2978" w:type="dxa"/>
          </w:tcPr>
          <w:p w14:paraId="721F9596" w14:textId="7E36E88A" w:rsidR="00AE3967" w:rsidRPr="00AE3967" w:rsidRDefault="00AE3967" w:rsidP="00AE3967">
            <w:pPr>
              <w:pStyle w:val="ListParagraph"/>
              <w:ind w:left="0"/>
              <w:rPr>
                <w:rFonts w:asciiTheme="minorHAnsi" w:hAnsiTheme="minorHAnsi" w:cstheme="minorHAnsi"/>
              </w:rPr>
            </w:pPr>
            <w:r w:rsidRPr="00AE3967">
              <w:rPr>
                <w:rFonts w:asciiTheme="minorHAnsi" w:hAnsiTheme="minorHAnsi" w:cstheme="minorHAnsi"/>
              </w:rPr>
              <w:t>WBC borrowing</w:t>
            </w:r>
          </w:p>
        </w:tc>
        <w:tc>
          <w:tcPr>
            <w:tcW w:w="1432" w:type="dxa"/>
          </w:tcPr>
          <w:p w14:paraId="40BA812C" w14:textId="4FC53AD4" w:rsidR="00AE3967" w:rsidRPr="00AE3967" w:rsidRDefault="00AE3967" w:rsidP="00AE3967">
            <w:pPr>
              <w:pStyle w:val="ListParagraph"/>
              <w:ind w:left="0"/>
              <w:jc w:val="right"/>
              <w:rPr>
                <w:rFonts w:asciiTheme="minorHAnsi" w:hAnsiTheme="minorHAnsi" w:cstheme="minorHAnsi"/>
              </w:rPr>
            </w:pPr>
            <w:r w:rsidRPr="00AE3967">
              <w:rPr>
                <w:rFonts w:asciiTheme="minorHAnsi" w:hAnsiTheme="minorHAnsi" w:cstheme="minorHAnsi"/>
              </w:rPr>
              <w:t>252,000</w:t>
            </w:r>
          </w:p>
        </w:tc>
      </w:tr>
      <w:tr w:rsidR="00AE3967" w:rsidRPr="00AE3967" w14:paraId="65748898" w14:textId="77777777" w:rsidTr="00AE3967">
        <w:trPr>
          <w:jc w:val="center"/>
        </w:trPr>
        <w:tc>
          <w:tcPr>
            <w:tcW w:w="2978" w:type="dxa"/>
          </w:tcPr>
          <w:p w14:paraId="13BDA836" w14:textId="6394242B" w:rsidR="00AE3967" w:rsidRPr="00AE3967" w:rsidRDefault="00AE3967" w:rsidP="00AE3967">
            <w:pPr>
              <w:pStyle w:val="ListParagraph"/>
              <w:ind w:left="0"/>
              <w:rPr>
                <w:rFonts w:asciiTheme="minorHAnsi" w:hAnsiTheme="minorHAnsi" w:cstheme="minorHAnsi"/>
              </w:rPr>
            </w:pPr>
            <w:r>
              <w:rPr>
                <w:rFonts w:asciiTheme="minorHAnsi" w:hAnsiTheme="minorHAnsi" w:cstheme="minorHAnsi"/>
              </w:rPr>
              <w:t>S106 contribution</w:t>
            </w:r>
          </w:p>
        </w:tc>
        <w:tc>
          <w:tcPr>
            <w:tcW w:w="1432" w:type="dxa"/>
          </w:tcPr>
          <w:p w14:paraId="6DEAD830" w14:textId="0100672C" w:rsidR="00AE3967" w:rsidRPr="00AE3967" w:rsidRDefault="00AE3967" w:rsidP="00AE3967">
            <w:pPr>
              <w:pStyle w:val="ListParagraph"/>
              <w:ind w:left="0"/>
              <w:jc w:val="right"/>
              <w:rPr>
                <w:rFonts w:asciiTheme="minorHAnsi" w:hAnsiTheme="minorHAnsi" w:cstheme="minorHAnsi"/>
              </w:rPr>
            </w:pPr>
            <w:r w:rsidRPr="00AE3967">
              <w:rPr>
                <w:rFonts w:asciiTheme="minorHAnsi" w:hAnsiTheme="minorHAnsi" w:cstheme="minorHAnsi"/>
              </w:rPr>
              <w:t>250,000</w:t>
            </w:r>
          </w:p>
        </w:tc>
      </w:tr>
      <w:tr w:rsidR="00AE3967" w:rsidRPr="00AE3967" w14:paraId="76493740" w14:textId="77777777" w:rsidTr="00AE3967">
        <w:trPr>
          <w:jc w:val="center"/>
        </w:trPr>
        <w:tc>
          <w:tcPr>
            <w:tcW w:w="2978" w:type="dxa"/>
          </w:tcPr>
          <w:p w14:paraId="1E492B0B" w14:textId="381D31FB" w:rsidR="00AE3967" w:rsidRPr="00AE3967" w:rsidRDefault="00AE3967" w:rsidP="00AE3967">
            <w:pPr>
              <w:pStyle w:val="ListParagraph"/>
              <w:ind w:left="0"/>
              <w:rPr>
                <w:rFonts w:asciiTheme="minorHAnsi" w:hAnsiTheme="minorHAnsi" w:cstheme="minorHAnsi"/>
              </w:rPr>
            </w:pPr>
            <w:r w:rsidRPr="00AE3967">
              <w:rPr>
                <w:rFonts w:asciiTheme="minorHAnsi" w:hAnsiTheme="minorHAnsi" w:cstheme="minorHAnsi"/>
              </w:rPr>
              <w:t>Total</w:t>
            </w:r>
          </w:p>
        </w:tc>
        <w:tc>
          <w:tcPr>
            <w:tcW w:w="1432" w:type="dxa"/>
          </w:tcPr>
          <w:p w14:paraId="780516D1" w14:textId="3BF7F416" w:rsidR="00AE3967" w:rsidRPr="00AE3967" w:rsidRDefault="00AE3967" w:rsidP="00AE3967">
            <w:pPr>
              <w:pStyle w:val="ListParagraph"/>
              <w:ind w:left="0"/>
              <w:jc w:val="right"/>
              <w:rPr>
                <w:rFonts w:asciiTheme="minorHAnsi" w:hAnsiTheme="minorHAnsi" w:cstheme="minorHAnsi"/>
              </w:rPr>
            </w:pPr>
            <w:r w:rsidRPr="00AE3967">
              <w:rPr>
                <w:rFonts w:asciiTheme="minorHAnsi" w:hAnsiTheme="minorHAnsi" w:cstheme="minorHAnsi"/>
              </w:rPr>
              <w:t>1,002,000</w:t>
            </w:r>
          </w:p>
        </w:tc>
      </w:tr>
    </w:tbl>
    <w:p w14:paraId="38B95CD7" w14:textId="77777777" w:rsidR="00AE3967" w:rsidRPr="0065095A" w:rsidRDefault="00AE3967" w:rsidP="00AE3967">
      <w:pPr>
        <w:pStyle w:val="ListParagraph"/>
        <w:rPr>
          <w:rFonts w:asciiTheme="minorHAnsi" w:hAnsiTheme="minorHAnsi" w:cstheme="minorHAnsi"/>
          <w:b/>
        </w:rPr>
      </w:pPr>
    </w:p>
    <w:p w14:paraId="64C02E32" w14:textId="7B330CA6" w:rsidR="0065095A" w:rsidRDefault="00AE3967" w:rsidP="007A28DB">
      <w:pPr>
        <w:pStyle w:val="ListParagraph"/>
        <w:ind w:left="360"/>
        <w:rPr>
          <w:rFonts w:asciiTheme="minorHAnsi" w:hAnsiTheme="minorHAnsi" w:cstheme="minorHAnsi"/>
        </w:rPr>
      </w:pPr>
      <w:r>
        <w:rPr>
          <w:rFonts w:asciiTheme="minorHAnsi" w:hAnsiTheme="minorHAnsi" w:cstheme="minorHAnsi"/>
        </w:rPr>
        <w:t>Any cost overruns will be met by WBC.</w:t>
      </w:r>
    </w:p>
    <w:p w14:paraId="707946B2" w14:textId="779A0762" w:rsidR="00EA7546" w:rsidRDefault="00EA7546" w:rsidP="007A28DB">
      <w:pPr>
        <w:pStyle w:val="ListParagraph"/>
        <w:ind w:left="360"/>
        <w:rPr>
          <w:rFonts w:asciiTheme="minorHAnsi" w:hAnsiTheme="minorHAnsi" w:cstheme="minorHAnsi"/>
        </w:rPr>
      </w:pPr>
    </w:p>
    <w:p w14:paraId="6B1A2A05" w14:textId="4F99626E" w:rsidR="00EA7546" w:rsidRDefault="00EA7546" w:rsidP="007A28DB">
      <w:pPr>
        <w:pStyle w:val="ListParagraph"/>
        <w:ind w:left="360"/>
        <w:rPr>
          <w:rFonts w:asciiTheme="minorHAnsi" w:hAnsiTheme="minorHAnsi" w:cstheme="minorHAnsi"/>
        </w:rPr>
      </w:pPr>
      <w:r>
        <w:rPr>
          <w:rFonts w:asciiTheme="minorHAnsi" w:hAnsiTheme="minorHAnsi" w:cstheme="minorHAnsi"/>
        </w:rPr>
        <w:t xml:space="preserve">The scheme will be procured using the </w:t>
      </w:r>
      <w:r w:rsidR="00C735C0">
        <w:rPr>
          <w:rFonts w:asciiTheme="minorHAnsi" w:hAnsiTheme="minorHAnsi" w:cstheme="minorHAnsi"/>
        </w:rPr>
        <w:t>C</w:t>
      </w:r>
      <w:bookmarkStart w:id="0" w:name="_GoBack"/>
      <w:bookmarkEnd w:id="0"/>
      <w:r>
        <w:rPr>
          <w:rFonts w:asciiTheme="minorHAnsi" w:hAnsiTheme="minorHAnsi" w:cstheme="minorHAnsi"/>
        </w:rPr>
        <w:t>ouncil’s highways term framework.</w:t>
      </w:r>
    </w:p>
    <w:p w14:paraId="6C3D609D" w14:textId="77777777" w:rsidR="00EA7546" w:rsidRPr="00215B12" w:rsidRDefault="00EA7546" w:rsidP="007A28DB">
      <w:pPr>
        <w:pStyle w:val="ListParagraph"/>
        <w:ind w:left="360"/>
        <w:rPr>
          <w:rFonts w:asciiTheme="minorHAnsi" w:hAnsiTheme="minorHAnsi" w:cstheme="minorHAnsi"/>
        </w:rPr>
      </w:pPr>
    </w:p>
    <w:p w14:paraId="4CA5613E" w14:textId="75DB674B" w:rsidR="004A0F83" w:rsidRPr="0065095A" w:rsidRDefault="004A0F83" w:rsidP="00EA7546">
      <w:pPr>
        <w:pStyle w:val="ListParagraph"/>
        <w:numPr>
          <w:ilvl w:val="0"/>
          <w:numId w:val="10"/>
        </w:numPr>
        <w:rPr>
          <w:rFonts w:asciiTheme="minorHAnsi" w:hAnsiTheme="minorHAnsi" w:cstheme="minorHAnsi"/>
          <w:b/>
        </w:rPr>
      </w:pPr>
      <w:r w:rsidRPr="0065095A">
        <w:rPr>
          <w:rFonts w:asciiTheme="minorHAnsi" w:hAnsiTheme="minorHAnsi" w:cstheme="minorHAnsi"/>
          <w:b/>
        </w:rPr>
        <w:t>Appraisal</w:t>
      </w:r>
    </w:p>
    <w:p w14:paraId="48F6759D" w14:textId="77777777" w:rsidR="00EA7546" w:rsidRDefault="00D46289" w:rsidP="00BA03A8">
      <w:pPr>
        <w:pStyle w:val="ListParagraph"/>
        <w:numPr>
          <w:ilvl w:val="1"/>
          <w:numId w:val="10"/>
        </w:numPr>
        <w:ind w:left="360"/>
        <w:rPr>
          <w:rFonts w:asciiTheme="minorHAnsi" w:hAnsiTheme="minorHAnsi" w:cstheme="minorHAnsi"/>
        </w:rPr>
      </w:pPr>
      <w:r w:rsidRPr="00EA7546">
        <w:rPr>
          <w:rFonts w:asciiTheme="minorHAnsi" w:hAnsiTheme="minorHAnsi" w:cstheme="minorHAnsi"/>
        </w:rPr>
        <w:t>The project has been independently appraised by WSP who have given it an overall score of 2: requirements substantially met.</w:t>
      </w:r>
      <w:r w:rsidR="00EA7546" w:rsidRPr="00EA7546">
        <w:rPr>
          <w:rFonts w:asciiTheme="minorHAnsi" w:hAnsiTheme="minorHAnsi" w:cstheme="minorHAnsi"/>
        </w:rPr>
        <w:t xml:space="preserve">  As this is the first project to go through th</w:t>
      </w:r>
      <w:r w:rsidR="00EA7546">
        <w:rPr>
          <w:rFonts w:asciiTheme="minorHAnsi" w:hAnsiTheme="minorHAnsi" w:cstheme="minorHAnsi"/>
        </w:rPr>
        <w:t>is appraisal process it seems more that the appraisal template doesn’t line up with business case template.  Having reviewed the business case, the project appears well thought through and strategic.  WBC have got a good track record for delivery and therefore there are no concerns about the project at this stage.</w:t>
      </w:r>
    </w:p>
    <w:p w14:paraId="5F6B055E" w14:textId="6318C97C" w:rsidR="00D46289" w:rsidRPr="00EA7546" w:rsidRDefault="00D46289" w:rsidP="00EA7546">
      <w:pPr>
        <w:pStyle w:val="ListParagraph"/>
        <w:ind w:left="360"/>
        <w:rPr>
          <w:rFonts w:asciiTheme="minorHAnsi" w:hAnsiTheme="minorHAnsi" w:cstheme="minorHAnsi"/>
        </w:rPr>
      </w:pPr>
      <w:r w:rsidRPr="00EA7546">
        <w:rPr>
          <w:rFonts w:asciiTheme="minorHAnsi" w:hAnsiTheme="minorHAnsi" w:cstheme="minorHAnsi"/>
        </w:rPr>
        <w:br/>
        <w:t>Summary below:</w:t>
      </w:r>
    </w:p>
    <w:p w14:paraId="3B4BA278" w14:textId="77777777" w:rsidR="00D46289" w:rsidRDefault="00D46289" w:rsidP="00D46289">
      <w:pPr>
        <w:pStyle w:val="ListParagraph"/>
        <w:ind w:left="792"/>
        <w:rPr>
          <w:rFonts w:asciiTheme="minorHAnsi" w:hAnsiTheme="minorHAnsi" w:cstheme="minorHAnsi"/>
        </w:rPr>
      </w:pPr>
    </w:p>
    <w:tbl>
      <w:tblPr>
        <w:tblW w:w="9140" w:type="dxa"/>
        <w:tblLook w:val="04A0" w:firstRow="1" w:lastRow="0" w:firstColumn="1" w:lastColumn="0" w:noHBand="0" w:noVBand="1"/>
      </w:tblPr>
      <w:tblGrid>
        <w:gridCol w:w="1600"/>
        <w:gridCol w:w="736"/>
        <w:gridCol w:w="1920"/>
        <w:gridCol w:w="960"/>
        <w:gridCol w:w="4080"/>
      </w:tblGrid>
      <w:tr w:rsidR="0069431E" w:rsidRPr="0069431E" w14:paraId="4D8A7A34" w14:textId="77777777" w:rsidTr="0069431E">
        <w:trPr>
          <w:trHeight w:val="300"/>
        </w:trPr>
        <w:tc>
          <w:tcPr>
            <w:tcW w:w="1600" w:type="dxa"/>
            <w:tcBorders>
              <w:top w:val="single" w:sz="8" w:space="0" w:color="808080"/>
              <w:left w:val="nil"/>
              <w:bottom w:val="nil"/>
              <w:right w:val="nil"/>
            </w:tcBorders>
            <w:shd w:val="clear" w:color="000000" w:fill="C0C0C0"/>
            <w:noWrap/>
            <w:vAlign w:val="center"/>
            <w:hideMark/>
          </w:tcPr>
          <w:p w14:paraId="27EC4649" w14:textId="77777777" w:rsidR="0069431E" w:rsidRPr="0069431E" w:rsidRDefault="0069431E" w:rsidP="0069431E">
            <w:pPr>
              <w:rPr>
                <w:rFonts w:ascii="Calibri" w:hAnsi="Calibri" w:cs="Calibri"/>
                <w:b/>
                <w:bCs/>
                <w:sz w:val="20"/>
                <w:szCs w:val="20"/>
                <w:lang w:val="en-US"/>
              </w:rPr>
            </w:pPr>
            <w:r w:rsidRPr="0069431E">
              <w:rPr>
                <w:rFonts w:ascii="Calibri" w:hAnsi="Calibri" w:cs="Calibri"/>
                <w:b/>
                <w:bCs/>
                <w:sz w:val="20"/>
                <w:szCs w:val="20"/>
                <w:lang w:val="en-US"/>
              </w:rPr>
              <w:t>Case</w:t>
            </w:r>
          </w:p>
        </w:tc>
        <w:tc>
          <w:tcPr>
            <w:tcW w:w="580" w:type="dxa"/>
            <w:tcBorders>
              <w:top w:val="single" w:sz="8" w:space="0" w:color="808080"/>
              <w:left w:val="nil"/>
              <w:bottom w:val="nil"/>
              <w:right w:val="nil"/>
            </w:tcBorders>
            <w:shd w:val="clear" w:color="000000" w:fill="C0C0C0"/>
            <w:noWrap/>
            <w:vAlign w:val="center"/>
            <w:hideMark/>
          </w:tcPr>
          <w:p w14:paraId="2E5134FD" w14:textId="77777777" w:rsidR="0069431E" w:rsidRPr="0069431E" w:rsidRDefault="0069431E" w:rsidP="0069431E">
            <w:pPr>
              <w:jc w:val="center"/>
              <w:rPr>
                <w:rFonts w:ascii="Calibri" w:hAnsi="Calibri" w:cs="Calibri"/>
                <w:b/>
                <w:bCs/>
                <w:sz w:val="20"/>
                <w:szCs w:val="20"/>
                <w:lang w:val="en-US"/>
              </w:rPr>
            </w:pPr>
            <w:r w:rsidRPr="0069431E">
              <w:rPr>
                <w:rFonts w:ascii="Calibri" w:hAnsi="Calibri" w:cs="Calibri"/>
                <w:b/>
                <w:bCs/>
                <w:sz w:val="20"/>
                <w:szCs w:val="20"/>
                <w:lang w:val="en-US"/>
              </w:rPr>
              <w:t>Status</w:t>
            </w:r>
          </w:p>
        </w:tc>
        <w:tc>
          <w:tcPr>
            <w:tcW w:w="1920" w:type="dxa"/>
            <w:tcBorders>
              <w:top w:val="single" w:sz="8" w:space="0" w:color="808080"/>
              <w:left w:val="nil"/>
              <w:bottom w:val="nil"/>
              <w:right w:val="nil"/>
            </w:tcBorders>
            <w:shd w:val="clear" w:color="000000" w:fill="C0C0C0"/>
            <w:noWrap/>
            <w:vAlign w:val="center"/>
            <w:hideMark/>
          </w:tcPr>
          <w:p w14:paraId="7C6A98E9" w14:textId="77777777" w:rsidR="0069431E" w:rsidRPr="0069431E" w:rsidRDefault="0069431E" w:rsidP="0069431E">
            <w:pPr>
              <w:rPr>
                <w:rFonts w:ascii="Calibri" w:hAnsi="Calibri" w:cs="Calibri"/>
                <w:b/>
                <w:bCs/>
                <w:sz w:val="20"/>
                <w:szCs w:val="20"/>
                <w:lang w:val="en-US"/>
              </w:rPr>
            </w:pPr>
            <w:proofErr w:type="gramStart"/>
            <w:r w:rsidRPr="0069431E">
              <w:rPr>
                <w:rFonts w:ascii="Calibri" w:hAnsi="Calibri" w:cs="Calibri"/>
                <w:b/>
                <w:bCs/>
                <w:sz w:val="20"/>
                <w:szCs w:val="20"/>
                <w:lang w:val="en-US"/>
              </w:rPr>
              <w:t>MM  Comments</w:t>
            </w:r>
            <w:proofErr w:type="gramEnd"/>
          </w:p>
        </w:tc>
        <w:tc>
          <w:tcPr>
            <w:tcW w:w="960" w:type="dxa"/>
            <w:tcBorders>
              <w:top w:val="single" w:sz="8" w:space="0" w:color="808080"/>
              <w:left w:val="nil"/>
              <w:bottom w:val="nil"/>
              <w:right w:val="nil"/>
            </w:tcBorders>
            <w:shd w:val="clear" w:color="000000" w:fill="C0C0C0"/>
            <w:noWrap/>
            <w:vAlign w:val="center"/>
            <w:hideMark/>
          </w:tcPr>
          <w:p w14:paraId="20791C08" w14:textId="77777777" w:rsidR="0069431E" w:rsidRPr="0069431E" w:rsidRDefault="0069431E" w:rsidP="0069431E">
            <w:pPr>
              <w:rPr>
                <w:rFonts w:ascii="Calibri" w:hAnsi="Calibri" w:cs="Calibri"/>
                <w:b/>
                <w:bCs/>
                <w:sz w:val="20"/>
                <w:szCs w:val="20"/>
                <w:lang w:val="en-US"/>
              </w:rPr>
            </w:pPr>
            <w:r w:rsidRPr="0069431E">
              <w:rPr>
                <w:rFonts w:ascii="Calibri" w:hAnsi="Calibri" w:cs="Calibri"/>
                <w:b/>
                <w:bCs/>
                <w:sz w:val="20"/>
                <w:szCs w:val="20"/>
                <w:lang w:val="en-US"/>
              </w:rPr>
              <w:t> </w:t>
            </w:r>
          </w:p>
        </w:tc>
        <w:tc>
          <w:tcPr>
            <w:tcW w:w="4080" w:type="dxa"/>
            <w:tcBorders>
              <w:top w:val="single" w:sz="8" w:space="0" w:color="808080"/>
              <w:left w:val="nil"/>
              <w:bottom w:val="nil"/>
              <w:right w:val="nil"/>
            </w:tcBorders>
            <w:shd w:val="clear" w:color="000000" w:fill="C0C0C0"/>
            <w:noWrap/>
            <w:vAlign w:val="center"/>
            <w:hideMark/>
          </w:tcPr>
          <w:p w14:paraId="61351C45" w14:textId="77777777" w:rsidR="0069431E" w:rsidRPr="0069431E" w:rsidRDefault="0069431E" w:rsidP="0069431E">
            <w:pPr>
              <w:rPr>
                <w:rFonts w:ascii="Calibri" w:hAnsi="Calibri" w:cs="Calibri"/>
                <w:b/>
                <w:bCs/>
                <w:sz w:val="20"/>
                <w:szCs w:val="20"/>
                <w:lang w:val="en-US"/>
              </w:rPr>
            </w:pPr>
            <w:r w:rsidRPr="0069431E">
              <w:rPr>
                <w:rFonts w:ascii="Calibri" w:hAnsi="Calibri" w:cs="Calibri"/>
                <w:b/>
                <w:bCs/>
                <w:sz w:val="20"/>
                <w:szCs w:val="20"/>
                <w:lang w:val="en-US"/>
              </w:rPr>
              <w:t> </w:t>
            </w:r>
          </w:p>
        </w:tc>
      </w:tr>
      <w:tr w:rsidR="0069431E" w:rsidRPr="0069431E" w14:paraId="0A547163" w14:textId="77777777" w:rsidTr="0069431E">
        <w:trPr>
          <w:trHeight w:val="1995"/>
        </w:trPr>
        <w:tc>
          <w:tcPr>
            <w:tcW w:w="1600" w:type="dxa"/>
            <w:tcBorders>
              <w:top w:val="single" w:sz="4" w:space="0" w:color="808080"/>
              <w:left w:val="single" w:sz="8" w:space="0" w:color="808080"/>
              <w:bottom w:val="single" w:sz="4" w:space="0" w:color="808080"/>
              <w:right w:val="single" w:sz="4" w:space="0" w:color="808080"/>
            </w:tcBorders>
            <w:shd w:val="clear" w:color="auto" w:fill="auto"/>
            <w:vAlign w:val="center"/>
            <w:hideMark/>
          </w:tcPr>
          <w:p w14:paraId="547EEF63" w14:textId="77777777" w:rsidR="0069431E" w:rsidRPr="0069431E" w:rsidRDefault="0069431E" w:rsidP="0069431E">
            <w:pPr>
              <w:rPr>
                <w:rFonts w:ascii="Calibri" w:hAnsi="Calibri" w:cs="Calibri"/>
                <w:b/>
                <w:bCs/>
                <w:sz w:val="20"/>
                <w:szCs w:val="20"/>
                <w:lang w:val="en-US"/>
              </w:rPr>
            </w:pPr>
            <w:r w:rsidRPr="0069431E">
              <w:rPr>
                <w:rFonts w:ascii="Calibri" w:hAnsi="Calibri" w:cs="Calibri"/>
                <w:b/>
                <w:bCs/>
                <w:sz w:val="20"/>
                <w:szCs w:val="20"/>
                <w:lang w:val="en-US"/>
              </w:rPr>
              <w:t>Strategic Case</w:t>
            </w:r>
          </w:p>
        </w:tc>
        <w:tc>
          <w:tcPr>
            <w:tcW w:w="580" w:type="dxa"/>
            <w:tcBorders>
              <w:top w:val="single" w:sz="4" w:space="0" w:color="808080"/>
              <w:left w:val="nil"/>
              <w:bottom w:val="single" w:sz="4" w:space="0" w:color="808080"/>
              <w:right w:val="single" w:sz="4" w:space="0" w:color="808080"/>
            </w:tcBorders>
            <w:shd w:val="clear" w:color="000000" w:fill="92D050"/>
            <w:noWrap/>
            <w:vAlign w:val="center"/>
            <w:hideMark/>
          </w:tcPr>
          <w:p w14:paraId="24B28248" w14:textId="77777777" w:rsidR="0069431E" w:rsidRPr="0069431E" w:rsidRDefault="0069431E" w:rsidP="0069431E">
            <w:pPr>
              <w:jc w:val="center"/>
              <w:rPr>
                <w:rFonts w:ascii="Calibri" w:hAnsi="Calibri" w:cs="Calibri"/>
                <w:b/>
                <w:bCs/>
                <w:sz w:val="20"/>
                <w:szCs w:val="20"/>
                <w:lang w:val="en-US"/>
              </w:rPr>
            </w:pPr>
            <w:r w:rsidRPr="0069431E">
              <w:rPr>
                <w:rFonts w:ascii="Calibri" w:hAnsi="Calibri" w:cs="Calibri"/>
                <w:b/>
                <w:bCs/>
                <w:sz w:val="20"/>
                <w:szCs w:val="20"/>
                <w:lang w:val="en-US"/>
              </w:rPr>
              <w:t>2</w:t>
            </w:r>
          </w:p>
        </w:tc>
        <w:tc>
          <w:tcPr>
            <w:tcW w:w="6960" w:type="dxa"/>
            <w:gridSpan w:val="3"/>
            <w:tcBorders>
              <w:top w:val="single" w:sz="4" w:space="0" w:color="808080"/>
              <w:left w:val="nil"/>
              <w:bottom w:val="single" w:sz="4" w:space="0" w:color="808080"/>
              <w:right w:val="single" w:sz="8" w:space="0" w:color="808080"/>
            </w:tcBorders>
            <w:shd w:val="clear" w:color="auto" w:fill="auto"/>
            <w:hideMark/>
          </w:tcPr>
          <w:p w14:paraId="6F3CCB69" w14:textId="77777777" w:rsidR="0069431E" w:rsidRPr="0069431E" w:rsidRDefault="0069431E" w:rsidP="0069431E">
            <w:pPr>
              <w:rPr>
                <w:rFonts w:ascii="Calibri" w:hAnsi="Calibri" w:cs="Calibri"/>
                <w:sz w:val="20"/>
                <w:szCs w:val="20"/>
                <w:lang w:val="en-US"/>
              </w:rPr>
            </w:pPr>
            <w:r w:rsidRPr="0069431E">
              <w:rPr>
                <w:rFonts w:ascii="Calibri" w:hAnsi="Calibri" w:cs="Calibri"/>
                <w:sz w:val="20"/>
                <w:szCs w:val="20"/>
                <w:lang w:val="en-US"/>
              </w:rPr>
              <w:t xml:space="preserve">Questions within the Strategic Case are generally very well answered and a strong case for funding is presented. Responses generally address the question asked in the application form well and an appropriate level of detail is provided. Where it has been deemed that requirements have not been fully met this is primarily a result of a difference in the requirements of the appraisal form and the application form rather than inadequate responses provided to the application form completed. </w:t>
            </w:r>
          </w:p>
        </w:tc>
      </w:tr>
      <w:tr w:rsidR="0069431E" w:rsidRPr="0069431E" w14:paraId="11968DB1" w14:textId="77777777" w:rsidTr="0069431E">
        <w:trPr>
          <w:trHeight w:val="2415"/>
        </w:trPr>
        <w:tc>
          <w:tcPr>
            <w:tcW w:w="1600" w:type="dxa"/>
            <w:tcBorders>
              <w:top w:val="nil"/>
              <w:left w:val="single" w:sz="8" w:space="0" w:color="808080"/>
              <w:bottom w:val="single" w:sz="4" w:space="0" w:color="808080"/>
              <w:right w:val="single" w:sz="4" w:space="0" w:color="808080"/>
            </w:tcBorders>
            <w:shd w:val="clear" w:color="auto" w:fill="auto"/>
            <w:vAlign w:val="center"/>
            <w:hideMark/>
          </w:tcPr>
          <w:p w14:paraId="648E885A" w14:textId="77777777" w:rsidR="0069431E" w:rsidRPr="0069431E" w:rsidRDefault="0069431E" w:rsidP="0069431E">
            <w:pPr>
              <w:rPr>
                <w:rFonts w:ascii="Calibri" w:hAnsi="Calibri" w:cs="Calibri"/>
                <w:b/>
                <w:bCs/>
                <w:sz w:val="20"/>
                <w:szCs w:val="20"/>
                <w:lang w:val="en-US"/>
              </w:rPr>
            </w:pPr>
            <w:r w:rsidRPr="0069431E">
              <w:rPr>
                <w:rFonts w:ascii="Calibri" w:hAnsi="Calibri" w:cs="Calibri"/>
                <w:b/>
                <w:bCs/>
                <w:sz w:val="20"/>
                <w:szCs w:val="20"/>
                <w:lang w:val="en-US"/>
              </w:rPr>
              <w:t>Economic Case</w:t>
            </w:r>
          </w:p>
        </w:tc>
        <w:tc>
          <w:tcPr>
            <w:tcW w:w="580" w:type="dxa"/>
            <w:tcBorders>
              <w:top w:val="nil"/>
              <w:left w:val="nil"/>
              <w:bottom w:val="single" w:sz="4" w:space="0" w:color="808080"/>
              <w:right w:val="single" w:sz="4" w:space="0" w:color="808080"/>
            </w:tcBorders>
            <w:shd w:val="clear" w:color="000000" w:fill="92D050"/>
            <w:noWrap/>
            <w:vAlign w:val="center"/>
            <w:hideMark/>
          </w:tcPr>
          <w:p w14:paraId="4B11D709" w14:textId="77777777" w:rsidR="0069431E" w:rsidRPr="0069431E" w:rsidRDefault="0069431E" w:rsidP="0069431E">
            <w:pPr>
              <w:jc w:val="center"/>
              <w:rPr>
                <w:rFonts w:ascii="Calibri" w:hAnsi="Calibri" w:cs="Calibri"/>
                <w:b/>
                <w:bCs/>
                <w:sz w:val="20"/>
                <w:szCs w:val="20"/>
                <w:lang w:val="en-US"/>
              </w:rPr>
            </w:pPr>
            <w:r w:rsidRPr="0069431E">
              <w:rPr>
                <w:rFonts w:ascii="Calibri" w:hAnsi="Calibri" w:cs="Calibri"/>
                <w:b/>
                <w:bCs/>
                <w:sz w:val="20"/>
                <w:szCs w:val="20"/>
                <w:lang w:val="en-US"/>
              </w:rPr>
              <w:t>3</w:t>
            </w:r>
          </w:p>
        </w:tc>
        <w:tc>
          <w:tcPr>
            <w:tcW w:w="6960" w:type="dxa"/>
            <w:gridSpan w:val="3"/>
            <w:tcBorders>
              <w:top w:val="single" w:sz="4" w:space="0" w:color="808080"/>
              <w:left w:val="nil"/>
              <w:bottom w:val="single" w:sz="4" w:space="0" w:color="808080"/>
              <w:right w:val="single" w:sz="8" w:space="0" w:color="808080"/>
            </w:tcBorders>
            <w:shd w:val="clear" w:color="000000" w:fill="auto"/>
            <w:hideMark/>
          </w:tcPr>
          <w:p w14:paraId="06735528" w14:textId="77777777" w:rsidR="0069431E" w:rsidRPr="0069431E" w:rsidRDefault="0069431E" w:rsidP="0069431E">
            <w:pPr>
              <w:rPr>
                <w:rFonts w:ascii="Calibri" w:hAnsi="Calibri" w:cs="Calibri"/>
                <w:sz w:val="20"/>
                <w:szCs w:val="20"/>
                <w:lang w:val="en-US"/>
              </w:rPr>
            </w:pPr>
            <w:r w:rsidRPr="0069431E">
              <w:rPr>
                <w:rFonts w:ascii="Calibri" w:hAnsi="Calibri" w:cs="Calibri"/>
                <w:sz w:val="20"/>
                <w:szCs w:val="20"/>
                <w:lang w:val="en-US"/>
              </w:rPr>
              <w:t xml:space="preserve">We have denoted the Economic Case with an evaluation score of '3' as some of the information required to substantiate the case is not provided. Other questions are generally well </w:t>
            </w:r>
            <w:proofErr w:type="gramStart"/>
            <w:r w:rsidRPr="0069431E">
              <w:rPr>
                <w:rFonts w:ascii="Calibri" w:hAnsi="Calibri" w:cs="Calibri"/>
                <w:sz w:val="20"/>
                <w:szCs w:val="20"/>
                <w:lang w:val="en-US"/>
              </w:rPr>
              <w:t>answered</w:t>
            </w:r>
            <w:proofErr w:type="gramEnd"/>
            <w:r w:rsidRPr="0069431E">
              <w:rPr>
                <w:rFonts w:ascii="Calibri" w:hAnsi="Calibri" w:cs="Calibri"/>
                <w:sz w:val="20"/>
                <w:szCs w:val="20"/>
                <w:lang w:val="en-US"/>
              </w:rPr>
              <w:t xml:space="preserve"> and an appropriate level of information has been provided to meet the requirements of the application form. However, the reviewer felt that there would be </w:t>
            </w:r>
            <w:proofErr w:type="gramStart"/>
            <w:r w:rsidRPr="0069431E">
              <w:rPr>
                <w:rFonts w:ascii="Calibri" w:hAnsi="Calibri" w:cs="Calibri"/>
                <w:sz w:val="20"/>
                <w:szCs w:val="20"/>
                <w:lang w:val="en-US"/>
              </w:rPr>
              <w:t>benefit</w:t>
            </w:r>
            <w:proofErr w:type="gramEnd"/>
            <w:r w:rsidRPr="0069431E">
              <w:rPr>
                <w:rFonts w:ascii="Calibri" w:hAnsi="Calibri" w:cs="Calibri"/>
                <w:sz w:val="20"/>
                <w:szCs w:val="20"/>
                <w:lang w:val="en-US"/>
              </w:rPr>
              <w:t xml:space="preserve"> to including a short technical note detailing the calculations and assumptions used in the economic case. It is also felt that there would be merit in providing a short justification (i.e. a sentence) to address why elements of the Economic Case referred in the question E15 onwards have not been assessed. </w:t>
            </w:r>
          </w:p>
        </w:tc>
      </w:tr>
      <w:tr w:rsidR="0069431E" w:rsidRPr="0069431E" w14:paraId="4C0C6635" w14:textId="77777777" w:rsidTr="0069431E">
        <w:trPr>
          <w:trHeight w:val="1665"/>
        </w:trPr>
        <w:tc>
          <w:tcPr>
            <w:tcW w:w="1600" w:type="dxa"/>
            <w:tcBorders>
              <w:top w:val="nil"/>
              <w:left w:val="single" w:sz="8" w:space="0" w:color="808080"/>
              <w:bottom w:val="single" w:sz="4" w:space="0" w:color="808080"/>
              <w:right w:val="single" w:sz="4" w:space="0" w:color="808080"/>
            </w:tcBorders>
            <w:shd w:val="clear" w:color="auto" w:fill="auto"/>
            <w:vAlign w:val="center"/>
            <w:hideMark/>
          </w:tcPr>
          <w:p w14:paraId="57C66E94" w14:textId="77777777" w:rsidR="0069431E" w:rsidRPr="0069431E" w:rsidRDefault="0069431E" w:rsidP="0069431E">
            <w:pPr>
              <w:rPr>
                <w:rFonts w:ascii="Calibri" w:hAnsi="Calibri" w:cs="Calibri"/>
                <w:b/>
                <w:bCs/>
                <w:sz w:val="20"/>
                <w:szCs w:val="20"/>
                <w:lang w:val="en-US"/>
              </w:rPr>
            </w:pPr>
            <w:r w:rsidRPr="0069431E">
              <w:rPr>
                <w:rFonts w:ascii="Calibri" w:hAnsi="Calibri" w:cs="Calibri"/>
                <w:b/>
                <w:bCs/>
                <w:sz w:val="20"/>
                <w:szCs w:val="20"/>
                <w:lang w:val="en-US"/>
              </w:rPr>
              <w:t>Financial Case</w:t>
            </w:r>
          </w:p>
        </w:tc>
        <w:tc>
          <w:tcPr>
            <w:tcW w:w="580" w:type="dxa"/>
            <w:tcBorders>
              <w:top w:val="nil"/>
              <w:left w:val="nil"/>
              <w:bottom w:val="single" w:sz="4" w:space="0" w:color="808080"/>
              <w:right w:val="single" w:sz="4" w:space="0" w:color="808080"/>
            </w:tcBorders>
            <w:shd w:val="clear" w:color="000000" w:fill="92D050"/>
            <w:noWrap/>
            <w:vAlign w:val="center"/>
            <w:hideMark/>
          </w:tcPr>
          <w:p w14:paraId="728D1534" w14:textId="77777777" w:rsidR="0069431E" w:rsidRPr="0069431E" w:rsidRDefault="0069431E" w:rsidP="0069431E">
            <w:pPr>
              <w:jc w:val="center"/>
              <w:rPr>
                <w:rFonts w:ascii="Calibri" w:hAnsi="Calibri" w:cs="Calibri"/>
                <w:b/>
                <w:bCs/>
                <w:sz w:val="20"/>
                <w:szCs w:val="20"/>
                <w:lang w:val="en-US"/>
              </w:rPr>
            </w:pPr>
            <w:r w:rsidRPr="0069431E">
              <w:rPr>
                <w:rFonts w:ascii="Calibri" w:hAnsi="Calibri" w:cs="Calibri"/>
                <w:b/>
                <w:bCs/>
                <w:sz w:val="20"/>
                <w:szCs w:val="20"/>
                <w:lang w:val="en-US"/>
              </w:rPr>
              <w:t>2</w:t>
            </w:r>
          </w:p>
        </w:tc>
        <w:tc>
          <w:tcPr>
            <w:tcW w:w="6960" w:type="dxa"/>
            <w:gridSpan w:val="3"/>
            <w:tcBorders>
              <w:top w:val="single" w:sz="4" w:space="0" w:color="808080"/>
              <w:left w:val="nil"/>
              <w:bottom w:val="single" w:sz="4" w:space="0" w:color="808080"/>
              <w:right w:val="single" w:sz="8" w:space="0" w:color="808080"/>
            </w:tcBorders>
            <w:shd w:val="clear" w:color="auto" w:fill="auto"/>
            <w:hideMark/>
          </w:tcPr>
          <w:p w14:paraId="29736C3F" w14:textId="77777777" w:rsidR="0069431E" w:rsidRPr="0069431E" w:rsidRDefault="0069431E" w:rsidP="0069431E">
            <w:pPr>
              <w:rPr>
                <w:rFonts w:ascii="Calibri" w:hAnsi="Calibri" w:cs="Calibri"/>
                <w:sz w:val="20"/>
                <w:szCs w:val="20"/>
                <w:lang w:val="en-US"/>
              </w:rPr>
            </w:pPr>
            <w:r w:rsidRPr="0069431E">
              <w:rPr>
                <w:rFonts w:ascii="Calibri" w:hAnsi="Calibri" w:cs="Calibri"/>
                <w:sz w:val="20"/>
                <w:szCs w:val="20"/>
                <w:lang w:val="en-US"/>
              </w:rPr>
              <w:t xml:space="preserve">We have denoted the Financial Case with an evaluation score of '2'. Responses to questions within the Financial Case are well answered and an appropriate level of information has been provided to meet the requirements of the application form. Medium and minor issues have been identified by the reviewers however these are generally </w:t>
            </w:r>
            <w:proofErr w:type="gramStart"/>
            <w:r w:rsidRPr="0069431E">
              <w:rPr>
                <w:rFonts w:ascii="Calibri" w:hAnsi="Calibri" w:cs="Calibri"/>
                <w:sz w:val="20"/>
                <w:szCs w:val="20"/>
                <w:lang w:val="en-US"/>
              </w:rPr>
              <w:t>issues</w:t>
            </w:r>
            <w:proofErr w:type="gramEnd"/>
            <w:r w:rsidRPr="0069431E">
              <w:rPr>
                <w:rFonts w:ascii="Calibri" w:hAnsi="Calibri" w:cs="Calibri"/>
                <w:sz w:val="20"/>
                <w:szCs w:val="20"/>
                <w:lang w:val="en-US"/>
              </w:rPr>
              <w:t xml:space="preserve"> that can be addressed at a later stage of scheme development and are not required within this submission at OBC stage. </w:t>
            </w:r>
          </w:p>
        </w:tc>
      </w:tr>
      <w:tr w:rsidR="0069431E" w:rsidRPr="0069431E" w14:paraId="2856048F" w14:textId="77777777" w:rsidTr="0069431E">
        <w:trPr>
          <w:trHeight w:val="1380"/>
        </w:trPr>
        <w:tc>
          <w:tcPr>
            <w:tcW w:w="1600" w:type="dxa"/>
            <w:tcBorders>
              <w:top w:val="nil"/>
              <w:left w:val="single" w:sz="8" w:space="0" w:color="808080"/>
              <w:bottom w:val="single" w:sz="4" w:space="0" w:color="808080"/>
              <w:right w:val="single" w:sz="4" w:space="0" w:color="808080"/>
            </w:tcBorders>
            <w:shd w:val="clear" w:color="auto" w:fill="auto"/>
            <w:noWrap/>
            <w:vAlign w:val="center"/>
            <w:hideMark/>
          </w:tcPr>
          <w:p w14:paraId="12B9D75F" w14:textId="77777777" w:rsidR="0069431E" w:rsidRPr="0069431E" w:rsidRDefault="0069431E" w:rsidP="0069431E">
            <w:pPr>
              <w:rPr>
                <w:rFonts w:ascii="Calibri" w:hAnsi="Calibri" w:cs="Calibri"/>
                <w:b/>
                <w:bCs/>
                <w:sz w:val="20"/>
                <w:szCs w:val="20"/>
                <w:lang w:val="en-US"/>
              </w:rPr>
            </w:pPr>
            <w:r w:rsidRPr="0069431E">
              <w:rPr>
                <w:rFonts w:ascii="Calibri" w:hAnsi="Calibri" w:cs="Calibri"/>
                <w:b/>
                <w:bCs/>
                <w:sz w:val="20"/>
                <w:szCs w:val="20"/>
                <w:lang w:val="en-US"/>
              </w:rPr>
              <w:t>Commercial Case</w:t>
            </w:r>
          </w:p>
        </w:tc>
        <w:tc>
          <w:tcPr>
            <w:tcW w:w="580" w:type="dxa"/>
            <w:tcBorders>
              <w:top w:val="nil"/>
              <w:left w:val="nil"/>
              <w:bottom w:val="single" w:sz="4" w:space="0" w:color="808080"/>
              <w:right w:val="single" w:sz="4" w:space="0" w:color="808080"/>
            </w:tcBorders>
            <w:shd w:val="clear" w:color="000000" w:fill="92D050"/>
            <w:noWrap/>
            <w:vAlign w:val="center"/>
            <w:hideMark/>
          </w:tcPr>
          <w:p w14:paraId="7E88225D" w14:textId="77777777" w:rsidR="0069431E" w:rsidRPr="0069431E" w:rsidRDefault="0069431E" w:rsidP="0069431E">
            <w:pPr>
              <w:jc w:val="center"/>
              <w:rPr>
                <w:rFonts w:ascii="Calibri" w:hAnsi="Calibri" w:cs="Calibri"/>
                <w:b/>
                <w:bCs/>
                <w:sz w:val="20"/>
                <w:szCs w:val="20"/>
                <w:lang w:val="en-US"/>
              </w:rPr>
            </w:pPr>
            <w:r w:rsidRPr="0069431E">
              <w:rPr>
                <w:rFonts w:ascii="Calibri" w:hAnsi="Calibri" w:cs="Calibri"/>
                <w:b/>
                <w:bCs/>
                <w:sz w:val="20"/>
                <w:szCs w:val="20"/>
                <w:lang w:val="en-US"/>
              </w:rPr>
              <w:t>2</w:t>
            </w:r>
          </w:p>
        </w:tc>
        <w:tc>
          <w:tcPr>
            <w:tcW w:w="6960" w:type="dxa"/>
            <w:gridSpan w:val="3"/>
            <w:tcBorders>
              <w:top w:val="single" w:sz="4" w:space="0" w:color="808080"/>
              <w:left w:val="nil"/>
              <w:bottom w:val="single" w:sz="4" w:space="0" w:color="808080"/>
              <w:right w:val="single" w:sz="8" w:space="0" w:color="808080"/>
            </w:tcBorders>
            <w:shd w:val="clear" w:color="auto" w:fill="auto"/>
            <w:hideMark/>
          </w:tcPr>
          <w:p w14:paraId="479B353B" w14:textId="77777777" w:rsidR="0069431E" w:rsidRPr="0069431E" w:rsidRDefault="0069431E" w:rsidP="0069431E">
            <w:pPr>
              <w:rPr>
                <w:rFonts w:ascii="Calibri" w:hAnsi="Calibri" w:cs="Calibri"/>
                <w:sz w:val="20"/>
                <w:szCs w:val="20"/>
                <w:lang w:val="en-US"/>
              </w:rPr>
            </w:pPr>
            <w:r w:rsidRPr="0069431E">
              <w:rPr>
                <w:rFonts w:ascii="Calibri" w:hAnsi="Calibri" w:cs="Calibri"/>
                <w:sz w:val="20"/>
                <w:szCs w:val="20"/>
                <w:lang w:val="en-US"/>
              </w:rPr>
              <w:t xml:space="preserve">Questions within the Commercial Case are well answered. A clear process of procurement is </w:t>
            </w:r>
            <w:proofErr w:type="gramStart"/>
            <w:r w:rsidRPr="0069431E">
              <w:rPr>
                <w:rFonts w:ascii="Calibri" w:hAnsi="Calibri" w:cs="Calibri"/>
                <w:sz w:val="20"/>
                <w:szCs w:val="20"/>
                <w:lang w:val="en-US"/>
              </w:rPr>
              <w:t>outlined</w:t>
            </w:r>
            <w:proofErr w:type="gramEnd"/>
            <w:r w:rsidRPr="0069431E">
              <w:rPr>
                <w:rFonts w:ascii="Calibri" w:hAnsi="Calibri" w:cs="Calibri"/>
                <w:sz w:val="20"/>
                <w:szCs w:val="20"/>
                <w:lang w:val="en-US"/>
              </w:rPr>
              <w:t xml:space="preserve"> and appropriate evidence is provided. Where the requirements of the appraisal form have not been fully met this is a result of the questions asked within the application form rather than issues with the submission. </w:t>
            </w:r>
          </w:p>
        </w:tc>
      </w:tr>
      <w:tr w:rsidR="0069431E" w:rsidRPr="0069431E" w14:paraId="700689E1" w14:textId="77777777" w:rsidTr="0069431E">
        <w:trPr>
          <w:trHeight w:val="1350"/>
        </w:trPr>
        <w:tc>
          <w:tcPr>
            <w:tcW w:w="1600" w:type="dxa"/>
            <w:tcBorders>
              <w:top w:val="nil"/>
              <w:left w:val="single" w:sz="8" w:space="0" w:color="808080"/>
              <w:bottom w:val="single" w:sz="4" w:space="0" w:color="808080"/>
              <w:right w:val="single" w:sz="4" w:space="0" w:color="808080"/>
            </w:tcBorders>
            <w:shd w:val="clear" w:color="auto" w:fill="auto"/>
            <w:vAlign w:val="center"/>
            <w:hideMark/>
          </w:tcPr>
          <w:p w14:paraId="06F9998D" w14:textId="77777777" w:rsidR="0069431E" w:rsidRPr="0069431E" w:rsidRDefault="0069431E" w:rsidP="0069431E">
            <w:pPr>
              <w:rPr>
                <w:rFonts w:ascii="Calibri" w:hAnsi="Calibri" w:cs="Calibri"/>
                <w:b/>
                <w:bCs/>
                <w:sz w:val="20"/>
                <w:szCs w:val="20"/>
                <w:lang w:val="en-US"/>
              </w:rPr>
            </w:pPr>
            <w:r w:rsidRPr="0069431E">
              <w:rPr>
                <w:rFonts w:ascii="Calibri" w:hAnsi="Calibri" w:cs="Calibri"/>
                <w:b/>
                <w:bCs/>
                <w:sz w:val="20"/>
                <w:szCs w:val="20"/>
                <w:lang w:val="en-US"/>
              </w:rPr>
              <w:t>Management Case</w:t>
            </w:r>
          </w:p>
        </w:tc>
        <w:tc>
          <w:tcPr>
            <w:tcW w:w="580" w:type="dxa"/>
            <w:tcBorders>
              <w:top w:val="nil"/>
              <w:left w:val="nil"/>
              <w:bottom w:val="single" w:sz="4" w:space="0" w:color="808080"/>
              <w:right w:val="single" w:sz="4" w:space="0" w:color="808080"/>
            </w:tcBorders>
            <w:shd w:val="clear" w:color="000000" w:fill="92D050"/>
            <w:noWrap/>
            <w:vAlign w:val="center"/>
            <w:hideMark/>
          </w:tcPr>
          <w:p w14:paraId="30846128" w14:textId="77777777" w:rsidR="0069431E" w:rsidRPr="0069431E" w:rsidRDefault="0069431E" w:rsidP="0069431E">
            <w:pPr>
              <w:jc w:val="center"/>
              <w:rPr>
                <w:rFonts w:ascii="Calibri" w:hAnsi="Calibri" w:cs="Calibri"/>
                <w:b/>
                <w:bCs/>
                <w:sz w:val="20"/>
                <w:szCs w:val="20"/>
                <w:lang w:val="en-US"/>
              </w:rPr>
            </w:pPr>
            <w:r w:rsidRPr="0069431E">
              <w:rPr>
                <w:rFonts w:ascii="Calibri" w:hAnsi="Calibri" w:cs="Calibri"/>
                <w:b/>
                <w:bCs/>
                <w:sz w:val="20"/>
                <w:szCs w:val="20"/>
                <w:lang w:val="en-US"/>
              </w:rPr>
              <w:t>2</w:t>
            </w:r>
          </w:p>
        </w:tc>
        <w:tc>
          <w:tcPr>
            <w:tcW w:w="6960" w:type="dxa"/>
            <w:gridSpan w:val="3"/>
            <w:tcBorders>
              <w:top w:val="single" w:sz="4" w:space="0" w:color="808080"/>
              <w:left w:val="nil"/>
              <w:bottom w:val="single" w:sz="4" w:space="0" w:color="808080"/>
              <w:right w:val="single" w:sz="8" w:space="0" w:color="808080"/>
            </w:tcBorders>
            <w:shd w:val="clear" w:color="auto" w:fill="auto"/>
            <w:hideMark/>
          </w:tcPr>
          <w:p w14:paraId="61901871" w14:textId="77777777" w:rsidR="0069431E" w:rsidRPr="0069431E" w:rsidRDefault="0069431E" w:rsidP="0069431E">
            <w:pPr>
              <w:rPr>
                <w:rFonts w:ascii="Calibri" w:hAnsi="Calibri" w:cs="Calibri"/>
                <w:sz w:val="20"/>
                <w:szCs w:val="20"/>
                <w:lang w:val="en-US"/>
              </w:rPr>
            </w:pPr>
            <w:r w:rsidRPr="0069431E">
              <w:rPr>
                <w:rFonts w:ascii="Calibri" w:hAnsi="Calibri" w:cs="Calibri"/>
                <w:sz w:val="20"/>
                <w:szCs w:val="20"/>
                <w:lang w:val="en-US"/>
              </w:rPr>
              <w:t xml:space="preserve">A robust Management Case is provided within the application form and most requirements are met. Where medium issues exist with the submission this is primarily due the extensive requirements of the appraisal form rather than inadequate responses to the questions asked in the application form. </w:t>
            </w:r>
          </w:p>
        </w:tc>
      </w:tr>
    </w:tbl>
    <w:p w14:paraId="3EAD7CD6" w14:textId="77777777" w:rsidR="00D46289" w:rsidRPr="00D46289" w:rsidRDefault="00D46289" w:rsidP="00D46289">
      <w:pPr>
        <w:rPr>
          <w:rFonts w:asciiTheme="minorHAnsi" w:hAnsiTheme="minorHAnsi" w:cstheme="minorHAnsi"/>
        </w:rPr>
      </w:pPr>
    </w:p>
    <w:p w14:paraId="515A0483" w14:textId="0ADA4F8B" w:rsidR="00624B5F" w:rsidRDefault="00624B5F" w:rsidP="00624B5F">
      <w:pPr>
        <w:pStyle w:val="ListParagraph"/>
        <w:ind w:left="792"/>
        <w:rPr>
          <w:rFonts w:asciiTheme="minorHAnsi" w:hAnsiTheme="minorHAnsi" w:cstheme="minorHAnsi"/>
        </w:rPr>
      </w:pPr>
    </w:p>
    <w:p w14:paraId="742A46CF" w14:textId="14EB5FB3" w:rsidR="00EA7546" w:rsidRDefault="00EA7546" w:rsidP="00624B5F">
      <w:pPr>
        <w:pStyle w:val="ListParagraph"/>
        <w:ind w:left="792"/>
        <w:rPr>
          <w:rFonts w:asciiTheme="minorHAnsi" w:hAnsiTheme="minorHAnsi" w:cstheme="minorHAnsi"/>
        </w:rPr>
      </w:pPr>
    </w:p>
    <w:p w14:paraId="24C30A1B" w14:textId="77777777" w:rsidR="00EA7546" w:rsidRDefault="00EA7546" w:rsidP="00624B5F">
      <w:pPr>
        <w:pStyle w:val="ListParagraph"/>
        <w:ind w:left="792"/>
        <w:rPr>
          <w:rFonts w:asciiTheme="minorHAnsi" w:hAnsiTheme="minorHAnsi" w:cstheme="minorHAnsi"/>
        </w:rPr>
      </w:pPr>
    </w:p>
    <w:p w14:paraId="07E36D01" w14:textId="77777777" w:rsidR="00001490" w:rsidRPr="00215B12" w:rsidRDefault="00001490" w:rsidP="00001490">
      <w:pPr>
        <w:pStyle w:val="ListParagraph"/>
        <w:ind w:left="360"/>
        <w:rPr>
          <w:rFonts w:asciiTheme="minorHAnsi" w:hAnsiTheme="minorHAnsi" w:cstheme="minorHAnsi"/>
        </w:rPr>
      </w:pPr>
    </w:p>
    <w:p w14:paraId="739F25A5" w14:textId="71115B06" w:rsidR="00B8573A" w:rsidRPr="006171FC" w:rsidRDefault="00B8573A" w:rsidP="00EA7546">
      <w:pPr>
        <w:pStyle w:val="ListParagraph"/>
        <w:numPr>
          <w:ilvl w:val="0"/>
          <w:numId w:val="10"/>
        </w:numPr>
        <w:rPr>
          <w:rFonts w:asciiTheme="minorHAnsi" w:hAnsiTheme="minorHAnsi" w:cstheme="minorHAnsi"/>
          <w:b/>
        </w:rPr>
      </w:pPr>
      <w:r w:rsidRPr="006171FC">
        <w:rPr>
          <w:rFonts w:asciiTheme="minorHAnsi" w:hAnsiTheme="minorHAnsi" w:cstheme="minorHAnsi"/>
          <w:b/>
        </w:rPr>
        <w:t>Risks and Issues</w:t>
      </w:r>
    </w:p>
    <w:p w14:paraId="287852E8" w14:textId="5C1CFCCF" w:rsidR="00B8573A" w:rsidRDefault="00B8573A" w:rsidP="00B8573A">
      <w:pPr>
        <w:pStyle w:val="ListParagraph"/>
        <w:ind w:left="360"/>
        <w:rPr>
          <w:rFonts w:asciiTheme="minorHAnsi" w:hAnsiTheme="minorHAnsi" w:cstheme="minorHAnsi"/>
        </w:rPr>
      </w:pPr>
    </w:p>
    <w:p w14:paraId="5F1B7441" w14:textId="3F6D8F49" w:rsidR="00EA7546" w:rsidRDefault="00EA7546" w:rsidP="00B8573A">
      <w:pPr>
        <w:pStyle w:val="ListParagraph"/>
        <w:ind w:left="360"/>
        <w:rPr>
          <w:rFonts w:asciiTheme="minorHAnsi" w:hAnsiTheme="minorHAnsi" w:cstheme="minorHAnsi"/>
        </w:rPr>
      </w:pPr>
      <w:r>
        <w:rPr>
          <w:rFonts w:asciiTheme="minorHAnsi" w:hAnsiTheme="minorHAnsi" w:cstheme="minorHAnsi"/>
        </w:rPr>
        <w:t xml:space="preserve">The main risks to delivery are cost overruns and the main </w:t>
      </w:r>
      <w:proofErr w:type="gramStart"/>
      <w:r>
        <w:rPr>
          <w:rFonts w:asciiTheme="minorHAnsi" w:hAnsiTheme="minorHAnsi" w:cstheme="minorHAnsi"/>
        </w:rPr>
        <w:t>long term</w:t>
      </w:r>
      <w:proofErr w:type="gramEnd"/>
      <w:r>
        <w:rPr>
          <w:rFonts w:asciiTheme="minorHAnsi" w:hAnsiTheme="minorHAnsi" w:cstheme="minorHAnsi"/>
        </w:rPr>
        <w:t xml:space="preserve"> risk is that the new pathway won’t be used.  As part of the project management plan, WBC will be asked to produce a full risk register with mitigating actions.</w:t>
      </w:r>
    </w:p>
    <w:p w14:paraId="4025255B" w14:textId="77777777" w:rsidR="00EA7546" w:rsidRDefault="00EA7546" w:rsidP="00B8573A">
      <w:pPr>
        <w:pStyle w:val="ListParagraph"/>
        <w:ind w:left="360"/>
        <w:rPr>
          <w:rFonts w:asciiTheme="minorHAnsi" w:hAnsiTheme="minorHAnsi" w:cstheme="minorHAnsi"/>
        </w:rPr>
      </w:pPr>
    </w:p>
    <w:p w14:paraId="7F907331" w14:textId="66D0DA24" w:rsidR="004A0F83" w:rsidRPr="006171FC" w:rsidRDefault="004A0F83" w:rsidP="00EA7546">
      <w:pPr>
        <w:pStyle w:val="ListParagraph"/>
        <w:numPr>
          <w:ilvl w:val="0"/>
          <w:numId w:val="10"/>
        </w:numPr>
        <w:rPr>
          <w:rFonts w:asciiTheme="minorHAnsi" w:hAnsiTheme="minorHAnsi" w:cstheme="minorHAnsi"/>
          <w:b/>
        </w:rPr>
      </w:pPr>
      <w:r w:rsidRPr="006171FC">
        <w:rPr>
          <w:rFonts w:asciiTheme="minorHAnsi" w:hAnsiTheme="minorHAnsi" w:cstheme="minorHAnsi"/>
          <w:b/>
        </w:rPr>
        <w:t>Appendices</w:t>
      </w:r>
    </w:p>
    <w:p w14:paraId="754D7748" w14:textId="78EC57E4" w:rsidR="006171FC" w:rsidRPr="00215B12" w:rsidRDefault="006171FC" w:rsidP="006171FC">
      <w:pPr>
        <w:pStyle w:val="ListParagraph"/>
        <w:ind w:left="360"/>
        <w:rPr>
          <w:rFonts w:asciiTheme="minorHAnsi" w:hAnsiTheme="minorHAnsi" w:cstheme="minorHAnsi"/>
        </w:rPr>
      </w:pPr>
      <w:r>
        <w:rPr>
          <w:rFonts w:asciiTheme="minorHAnsi" w:hAnsiTheme="minorHAnsi" w:cstheme="minorHAnsi"/>
        </w:rPr>
        <w:t>Business case.</w:t>
      </w:r>
    </w:p>
    <w:sectPr w:rsidR="006171FC" w:rsidRPr="00215B12" w:rsidSect="0069431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6A0BC" w14:textId="77777777" w:rsidR="004A0F83" w:rsidRDefault="004A0F83" w:rsidP="004A0F83">
      <w:r>
        <w:separator/>
      </w:r>
    </w:p>
  </w:endnote>
  <w:endnote w:type="continuationSeparator" w:id="0">
    <w:p w14:paraId="7184303B" w14:textId="77777777" w:rsidR="004A0F83" w:rsidRDefault="004A0F83" w:rsidP="004A0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7021079"/>
      <w:docPartObj>
        <w:docPartGallery w:val="Page Numbers (Bottom of Page)"/>
        <w:docPartUnique/>
      </w:docPartObj>
    </w:sdtPr>
    <w:sdtEndPr>
      <w:rPr>
        <w:noProof/>
      </w:rPr>
    </w:sdtEndPr>
    <w:sdtContent>
      <w:p w14:paraId="37241661" w14:textId="77777777" w:rsidR="004A0F83" w:rsidRDefault="004A0F8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E7B4D4B" w14:textId="77777777" w:rsidR="004A0F83" w:rsidRDefault="004A0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95AAD" w14:textId="77777777" w:rsidR="004A0F83" w:rsidRDefault="004A0F83" w:rsidP="004A0F83">
      <w:r>
        <w:separator/>
      </w:r>
    </w:p>
  </w:footnote>
  <w:footnote w:type="continuationSeparator" w:id="0">
    <w:p w14:paraId="16CE97D7" w14:textId="77777777" w:rsidR="004A0F83" w:rsidRDefault="004A0F83" w:rsidP="004A0F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0E4E"/>
    <w:multiLevelType w:val="hybridMultilevel"/>
    <w:tmpl w:val="148C9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406273"/>
    <w:multiLevelType w:val="hybridMultilevel"/>
    <w:tmpl w:val="5DBC9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BA0CEF"/>
    <w:multiLevelType w:val="hybridMultilevel"/>
    <w:tmpl w:val="AAA60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D53E5F"/>
    <w:multiLevelType w:val="multilevel"/>
    <w:tmpl w:val="337476C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7CA117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BFB39D1"/>
    <w:multiLevelType w:val="multilevel"/>
    <w:tmpl w:val="7518A7C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ABB0F25"/>
    <w:multiLevelType w:val="multilevel"/>
    <w:tmpl w:val="5BA8BEA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D4C7835"/>
    <w:multiLevelType w:val="multilevel"/>
    <w:tmpl w:val="7518A7C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6CD0D02"/>
    <w:multiLevelType w:val="multilevel"/>
    <w:tmpl w:val="D2B04DE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9826B96"/>
    <w:multiLevelType w:val="hybridMultilevel"/>
    <w:tmpl w:val="6A8E4F3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8"/>
  </w:num>
  <w:num w:numId="4">
    <w:abstractNumId w:val="1"/>
  </w:num>
  <w:num w:numId="5">
    <w:abstractNumId w:val="7"/>
  </w:num>
  <w:num w:numId="6">
    <w:abstractNumId w:val="2"/>
  </w:num>
  <w:num w:numId="7">
    <w:abstractNumId w:val="5"/>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F83"/>
    <w:rsid w:val="00001490"/>
    <w:rsid w:val="000A0D5B"/>
    <w:rsid w:val="00211E88"/>
    <w:rsid w:val="00215B12"/>
    <w:rsid w:val="00224B23"/>
    <w:rsid w:val="002962BE"/>
    <w:rsid w:val="002E2688"/>
    <w:rsid w:val="00300FA3"/>
    <w:rsid w:val="00304D33"/>
    <w:rsid w:val="00390E79"/>
    <w:rsid w:val="003D14E2"/>
    <w:rsid w:val="004A0F83"/>
    <w:rsid w:val="00544AFB"/>
    <w:rsid w:val="005975F0"/>
    <w:rsid w:val="005B069B"/>
    <w:rsid w:val="00604E25"/>
    <w:rsid w:val="006171FC"/>
    <w:rsid w:val="00617FC0"/>
    <w:rsid w:val="00624B5F"/>
    <w:rsid w:val="0065095A"/>
    <w:rsid w:val="0069431E"/>
    <w:rsid w:val="006D433E"/>
    <w:rsid w:val="007A28DB"/>
    <w:rsid w:val="007F202D"/>
    <w:rsid w:val="008B0E9E"/>
    <w:rsid w:val="00A615DE"/>
    <w:rsid w:val="00AC0E3B"/>
    <w:rsid w:val="00AE3967"/>
    <w:rsid w:val="00B82546"/>
    <w:rsid w:val="00B8573A"/>
    <w:rsid w:val="00C03A85"/>
    <w:rsid w:val="00C062CB"/>
    <w:rsid w:val="00C567B0"/>
    <w:rsid w:val="00C735C0"/>
    <w:rsid w:val="00D46289"/>
    <w:rsid w:val="00D6276C"/>
    <w:rsid w:val="00DF35C6"/>
    <w:rsid w:val="00E70063"/>
    <w:rsid w:val="00E77D26"/>
    <w:rsid w:val="00EA7546"/>
    <w:rsid w:val="00ED2DDC"/>
    <w:rsid w:val="00F54ED7"/>
    <w:rsid w:val="00F606F8"/>
    <w:rsid w:val="00F73A35"/>
    <w:rsid w:val="00FD7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5665"/>
  <w15:chartTrackingRefBased/>
  <w15:docId w15:val="{AA1F8433-2C4B-4F60-BEDD-782C177D4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0F8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4A0F83"/>
    <w:pPr>
      <w:keepNext/>
      <w:jc w:val="both"/>
      <w:outlineLvl w:val="2"/>
    </w:pPr>
    <w:rPr>
      <w:rFonts w:ascii="Arial" w:hAnsi="Arial" w:cs="Arial"/>
      <w:b/>
      <w:bCs/>
      <w:sz w:val="28"/>
      <w:u w:val="single"/>
    </w:rPr>
  </w:style>
  <w:style w:type="paragraph" w:styleId="Heading5">
    <w:name w:val="heading 5"/>
    <w:basedOn w:val="Normal"/>
    <w:next w:val="Normal"/>
    <w:link w:val="Heading5Char"/>
    <w:uiPriority w:val="9"/>
    <w:semiHidden/>
    <w:unhideWhenUsed/>
    <w:qFormat/>
    <w:rsid w:val="004A0F8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A0F83"/>
    <w:rPr>
      <w:rFonts w:ascii="Arial" w:eastAsia="Times New Roman" w:hAnsi="Arial" w:cs="Arial"/>
      <w:b/>
      <w:bCs/>
      <w:sz w:val="28"/>
      <w:szCs w:val="24"/>
      <w:u w:val="single"/>
    </w:rPr>
  </w:style>
  <w:style w:type="character" w:customStyle="1" w:styleId="Heading5Char">
    <w:name w:val="Heading 5 Char"/>
    <w:basedOn w:val="DefaultParagraphFont"/>
    <w:link w:val="Heading5"/>
    <w:uiPriority w:val="9"/>
    <w:semiHidden/>
    <w:rsid w:val="004A0F83"/>
    <w:rPr>
      <w:rFonts w:asciiTheme="majorHAnsi" w:eastAsiaTheme="majorEastAsia" w:hAnsiTheme="majorHAnsi" w:cstheme="majorBidi"/>
      <w:color w:val="2F5496" w:themeColor="accent1" w:themeShade="BF"/>
      <w:sz w:val="24"/>
      <w:szCs w:val="24"/>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4A0F83"/>
    <w:pPr>
      <w:ind w:left="720"/>
      <w:contextualSpacing/>
    </w:pPr>
  </w:style>
  <w:style w:type="paragraph" w:styleId="Header">
    <w:name w:val="header"/>
    <w:basedOn w:val="Normal"/>
    <w:link w:val="HeaderChar"/>
    <w:uiPriority w:val="99"/>
    <w:unhideWhenUsed/>
    <w:rsid w:val="004A0F83"/>
    <w:pPr>
      <w:tabs>
        <w:tab w:val="center" w:pos="4513"/>
        <w:tab w:val="right" w:pos="9026"/>
      </w:tabs>
    </w:pPr>
  </w:style>
  <w:style w:type="character" w:customStyle="1" w:styleId="HeaderChar">
    <w:name w:val="Header Char"/>
    <w:basedOn w:val="DefaultParagraphFont"/>
    <w:link w:val="Header"/>
    <w:uiPriority w:val="99"/>
    <w:rsid w:val="004A0F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0F83"/>
    <w:pPr>
      <w:tabs>
        <w:tab w:val="center" w:pos="4513"/>
        <w:tab w:val="right" w:pos="9026"/>
      </w:tabs>
    </w:pPr>
  </w:style>
  <w:style w:type="character" w:customStyle="1" w:styleId="FooterChar">
    <w:name w:val="Footer Char"/>
    <w:basedOn w:val="DefaultParagraphFont"/>
    <w:link w:val="Footer"/>
    <w:uiPriority w:val="99"/>
    <w:rsid w:val="004A0F83"/>
    <w:rPr>
      <w:rFonts w:ascii="Times New Roman" w:eastAsia="Times New Roman" w:hAnsi="Times New Roman" w:cs="Times New Roman"/>
      <w:sz w:val="24"/>
      <w:szCs w:val="24"/>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2E2688"/>
    <w:rPr>
      <w:rFonts w:ascii="Times New Roman" w:eastAsia="Times New Roman" w:hAnsi="Times New Roman" w:cs="Times New Roman"/>
      <w:sz w:val="24"/>
      <w:szCs w:val="24"/>
    </w:rPr>
  </w:style>
  <w:style w:type="table" w:styleId="TableGrid">
    <w:name w:val="Table Grid"/>
    <w:basedOn w:val="TableNormal"/>
    <w:uiPriority w:val="39"/>
    <w:rsid w:val="00001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36213">
      <w:bodyDiv w:val="1"/>
      <w:marLeft w:val="0"/>
      <w:marRight w:val="0"/>
      <w:marTop w:val="0"/>
      <w:marBottom w:val="0"/>
      <w:divBdr>
        <w:top w:val="none" w:sz="0" w:space="0" w:color="auto"/>
        <w:left w:val="none" w:sz="0" w:space="0" w:color="auto"/>
        <w:bottom w:val="none" w:sz="0" w:space="0" w:color="auto"/>
        <w:right w:val="none" w:sz="0" w:space="0" w:color="auto"/>
      </w:divBdr>
    </w:div>
    <w:div w:id="614140237">
      <w:bodyDiv w:val="1"/>
      <w:marLeft w:val="0"/>
      <w:marRight w:val="0"/>
      <w:marTop w:val="0"/>
      <w:marBottom w:val="0"/>
      <w:divBdr>
        <w:top w:val="none" w:sz="0" w:space="0" w:color="auto"/>
        <w:left w:val="none" w:sz="0" w:space="0" w:color="auto"/>
        <w:bottom w:val="none" w:sz="0" w:space="0" w:color="auto"/>
        <w:right w:val="none" w:sz="0" w:space="0" w:color="auto"/>
      </w:divBdr>
    </w:div>
    <w:div w:id="104012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4</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Brosnahan</dc:creator>
  <cp:keywords/>
  <dc:description/>
  <cp:lastModifiedBy>Rachel Brosnahan</cp:lastModifiedBy>
  <cp:revision>6</cp:revision>
  <dcterms:created xsi:type="dcterms:W3CDTF">2018-09-13T13:50:00Z</dcterms:created>
  <dcterms:modified xsi:type="dcterms:W3CDTF">2018-09-17T15:40:00Z</dcterms:modified>
</cp:coreProperties>
</file>