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4A03" w14:textId="77777777" w:rsidR="00E1019A" w:rsidRPr="00131909" w:rsidRDefault="00066677" w:rsidP="001D4E9E">
      <w:pPr>
        <w:pStyle w:val="Heading1"/>
        <w:jc w:val="right"/>
        <w:rPr>
          <w:rFonts w:cs="Arial"/>
          <w:sz w:val="22"/>
          <w:szCs w:val="22"/>
        </w:rPr>
      </w:pPr>
      <w:r w:rsidRPr="00131909">
        <w:rPr>
          <w:rFonts w:cs="Arial"/>
          <w:noProof/>
          <w:sz w:val="22"/>
          <w:szCs w:val="22"/>
          <w:lang w:eastAsia="en-GB"/>
        </w:rPr>
        <mc:AlternateContent>
          <mc:Choice Requires="wps">
            <w:drawing>
              <wp:anchor distT="0" distB="0" distL="114300" distR="114300" simplePos="0" relativeHeight="251658240" behindDoc="0" locked="0" layoutInCell="1" allowOverlap="1" wp14:anchorId="1570AA9E" wp14:editId="1E4E1AA2">
                <wp:simplePos x="0" y="0"/>
                <wp:positionH relativeFrom="column">
                  <wp:posOffset>4462145</wp:posOffset>
                </wp:positionH>
                <wp:positionV relativeFrom="paragraph">
                  <wp:posOffset>-370840</wp:posOffset>
                </wp:positionV>
                <wp:extent cx="1447800" cy="143827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9" r:link="rId10"/>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35pt;margin-top:-29.2pt;width:114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i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" stroked="f">
                <v:textbox>
                  <w:txbxContent>
                    <w:p w14:paraId="6C3ED8E4" w14:textId="77777777" w:rsidR="004D2129" w:rsidRDefault="004D2129">
                      <w:r w:rsidRPr="00CC4999">
                        <w:rPr>
                          <w:noProof/>
                          <w:lang w:eastAsia="en-GB"/>
                        </w:rPr>
                        <w:drawing>
                          <wp:inline distT="0" distB="0" distL="0" distR="0" wp14:anchorId="762DFDA4" wp14:editId="5D6868D9">
                            <wp:extent cx="1247775" cy="1380735"/>
                            <wp:effectExtent l="19050" t="0" r="9525" b="0"/>
                            <wp:docPr id="4" name="Picture 1" descr="cid:image001.jpg@01CFF754.E5C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754.E5CD8A40"/>
                                    <pic:cNvPicPr>
                                      <a:picLocks noChangeAspect="1" noChangeArrowheads="1"/>
                                    </pic:cNvPicPr>
                                  </pic:nvPicPr>
                                  <pic:blipFill>
                                    <a:blip r:embed="rId11" r:link="rId12"/>
                                    <a:srcRect/>
                                    <a:stretch>
                                      <a:fillRect/>
                                    </a:stretch>
                                  </pic:blipFill>
                                  <pic:spPr bwMode="auto">
                                    <a:xfrm>
                                      <a:off x="0" y="0"/>
                                      <a:ext cx="1247775" cy="1380735"/>
                                    </a:xfrm>
                                    <a:prstGeom prst="rect">
                                      <a:avLst/>
                                    </a:prstGeom>
                                    <a:noFill/>
                                    <a:ln w="9525">
                                      <a:noFill/>
                                      <a:miter lim="800000"/>
                                      <a:headEnd/>
                                      <a:tailEnd/>
                                    </a:ln>
                                  </pic:spPr>
                                </pic:pic>
                              </a:graphicData>
                            </a:graphic>
                          </wp:inline>
                        </w:drawing>
                      </w:r>
                    </w:p>
                  </w:txbxContent>
                </v:textbox>
              </v:shape>
            </w:pict>
          </mc:Fallback>
        </mc:AlternateContent>
      </w:r>
    </w:p>
    <w:p w14:paraId="0D3D3C45" w14:textId="77777777" w:rsidR="00E1019A" w:rsidRPr="00131909" w:rsidRDefault="00E1019A" w:rsidP="00E1019A">
      <w:pPr>
        <w:rPr>
          <w:rFonts w:ascii="Arial" w:hAnsi="Arial" w:cs="Arial"/>
          <w:sz w:val="22"/>
          <w:szCs w:val="22"/>
        </w:rPr>
      </w:pPr>
    </w:p>
    <w:p w14:paraId="013DDB1E" w14:textId="77777777" w:rsidR="00CC4999" w:rsidRPr="00131909" w:rsidRDefault="00CC4999" w:rsidP="00E1019A">
      <w:pPr>
        <w:rPr>
          <w:rFonts w:ascii="Arial" w:hAnsi="Arial" w:cs="Arial"/>
          <w:sz w:val="22"/>
          <w:szCs w:val="22"/>
        </w:rPr>
      </w:pPr>
    </w:p>
    <w:p w14:paraId="3D0BBC48" w14:textId="77777777" w:rsidR="00CC4999" w:rsidRPr="00131909" w:rsidRDefault="00CC4999" w:rsidP="00E1019A">
      <w:pPr>
        <w:rPr>
          <w:rFonts w:ascii="Arial" w:hAnsi="Arial" w:cs="Arial"/>
          <w:sz w:val="22"/>
          <w:szCs w:val="22"/>
        </w:rPr>
      </w:pPr>
    </w:p>
    <w:p w14:paraId="0642DA59" w14:textId="77777777" w:rsidR="00CC4999" w:rsidRPr="00131909" w:rsidRDefault="00CC4999" w:rsidP="00E1019A">
      <w:pPr>
        <w:rPr>
          <w:rFonts w:ascii="Arial" w:hAnsi="Arial" w:cs="Arial"/>
          <w:sz w:val="22"/>
          <w:szCs w:val="22"/>
        </w:rPr>
      </w:pPr>
    </w:p>
    <w:p w14:paraId="4DBF2C26" w14:textId="77777777" w:rsidR="00CC4999" w:rsidRPr="00131909" w:rsidRDefault="00CC4999" w:rsidP="00E1019A">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9231"/>
      </w:tblGrid>
      <w:tr w:rsidR="00E1019A" w:rsidRPr="00131909" w14:paraId="3316E241" w14:textId="77777777">
        <w:trPr>
          <w:trHeight w:val="344"/>
        </w:trPr>
        <w:tc>
          <w:tcPr>
            <w:tcW w:w="9231" w:type="dxa"/>
            <w:noWrap/>
            <w:tcMar>
              <w:top w:w="17" w:type="dxa"/>
              <w:left w:w="17" w:type="dxa"/>
              <w:bottom w:w="0" w:type="dxa"/>
              <w:right w:w="17" w:type="dxa"/>
            </w:tcMar>
            <w:vAlign w:val="bottom"/>
          </w:tcPr>
          <w:p w14:paraId="3A0D80E7" w14:textId="316C2F0E" w:rsidR="00E1019A" w:rsidRPr="00131909" w:rsidRDefault="001D4E9E" w:rsidP="0004392D">
            <w:pPr>
              <w:keepNext/>
              <w:rPr>
                <w:rFonts w:ascii="Arial" w:hAnsi="Arial" w:cs="Arial"/>
                <w:b/>
                <w:sz w:val="32"/>
                <w:szCs w:val="32"/>
              </w:rPr>
            </w:pPr>
            <w:r w:rsidRPr="00131909">
              <w:rPr>
                <w:rFonts w:ascii="Arial" w:hAnsi="Arial" w:cs="Arial"/>
                <w:b/>
                <w:sz w:val="32"/>
                <w:szCs w:val="32"/>
              </w:rPr>
              <w:t>Cheshire &amp; Warrington Local Transport Body</w:t>
            </w:r>
          </w:p>
        </w:tc>
      </w:tr>
    </w:tbl>
    <w:p w14:paraId="0FF2A445" w14:textId="77777777" w:rsidR="00E1019A" w:rsidRPr="00131909" w:rsidRDefault="00E1019A" w:rsidP="00E1019A">
      <w:pPr>
        <w:ind w:right="-874"/>
        <w:rPr>
          <w:rFonts w:ascii="Arial" w:hAnsi="Arial" w:cs="Arial"/>
          <w:sz w:val="22"/>
          <w:szCs w:val="22"/>
        </w:rPr>
      </w:pPr>
    </w:p>
    <w:tbl>
      <w:tblPr>
        <w:tblW w:w="9180" w:type="dxa"/>
        <w:tblBorders>
          <w:top w:val="single" w:sz="4" w:space="0" w:color="auto"/>
          <w:bottom w:val="single" w:sz="4" w:space="0" w:color="auto"/>
        </w:tblBorders>
        <w:tblCellMar>
          <w:top w:w="57" w:type="dxa"/>
          <w:left w:w="0" w:type="dxa"/>
          <w:bottom w:w="57" w:type="dxa"/>
        </w:tblCellMar>
        <w:tblLook w:val="0000" w:firstRow="0" w:lastRow="0" w:firstColumn="0" w:lastColumn="0" w:noHBand="0" w:noVBand="0"/>
      </w:tblPr>
      <w:tblGrid>
        <w:gridCol w:w="2537"/>
        <w:gridCol w:w="6643"/>
      </w:tblGrid>
      <w:tr w:rsidR="00E1019A" w:rsidRPr="00131909" w14:paraId="25E56DDD" w14:textId="77777777" w:rsidTr="006B7366">
        <w:trPr>
          <w:cantSplit/>
        </w:trPr>
        <w:tc>
          <w:tcPr>
            <w:tcW w:w="2537" w:type="dxa"/>
          </w:tcPr>
          <w:p w14:paraId="6A949792" w14:textId="77777777" w:rsidR="00E1019A" w:rsidRPr="00131909" w:rsidRDefault="00E1019A" w:rsidP="00BA234C">
            <w:pPr>
              <w:tabs>
                <w:tab w:val="left" w:pos="2160"/>
                <w:tab w:val="left" w:pos="7920"/>
              </w:tabs>
              <w:rPr>
                <w:rFonts w:ascii="Arial" w:hAnsi="Arial" w:cs="Arial"/>
                <w:b/>
                <w:bCs/>
                <w:sz w:val="22"/>
                <w:szCs w:val="22"/>
              </w:rPr>
            </w:pPr>
          </w:p>
          <w:p w14:paraId="6187B832" w14:textId="77777777" w:rsidR="00E1019A" w:rsidRPr="00131909" w:rsidRDefault="00E1019A" w:rsidP="00BA234C">
            <w:pPr>
              <w:tabs>
                <w:tab w:val="left" w:pos="2160"/>
                <w:tab w:val="left" w:pos="7920"/>
              </w:tabs>
              <w:rPr>
                <w:rFonts w:ascii="Arial" w:hAnsi="Arial" w:cs="Arial"/>
                <w:sz w:val="22"/>
                <w:szCs w:val="22"/>
              </w:rPr>
            </w:pPr>
            <w:r w:rsidRPr="00131909">
              <w:rPr>
                <w:rFonts w:ascii="Arial" w:hAnsi="Arial" w:cs="Arial"/>
                <w:b/>
                <w:bCs/>
                <w:sz w:val="22"/>
                <w:szCs w:val="22"/>
              </w:rPr>
              <w:t>Date of Meeting:</w:t>
            </w:r>
          </w:p>
        </w:tc>
        <w:tc>
          <w:tcPr>
            <w:tcW w:w="6643" w:type="dxa"/>
          </w:tcPr>
          <w:p w14:paraId="2EB22F2E" w14:textId="77777777" w:rsidR="00E1019A" w:rsidRPr="00131909" w:rsidRDefault="00E1019A" w:rsidP="00BA234C">
            <w:pPr>
              <w:pStyle w:val="DefaultText"/>
              <w:tabs>
                <w:tab w:val="left" w:pos="2160"/>
                <w:tab w:val="left" w:pos="7920"/>
              </w:tabs>
              <w:autoSpaceDE/>
              <w:adjustRightInd/>
              <w:rPr>
                <w:rFonts w:ascii="Arial" w:hAnsi="Arial" w:cs="Arial"/>
                <w:sz w:val="22"/>
                <w:szCs w:val="22"/>
                <w:lang w:val="en-GB"/>
              </w:rPr>
            </w:pPr>
          </w:p>
          <w:p w14:paraId="04C8C976" w14:textId="6A70C53D" w:rsidR="00E1019A" w:rsidRPr="00131909" w:rsidRDefault="00C31D46"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Friday 6 April 2018</w:t>
            </w:r>
          </w:p>
        </w:tc>
      </w:tr>
      <w:tr w:rsidR="00E1019A" w:rsidRPr="00131909" w14:paraId="38DC41F6" w14:textId="77777777" w:rsidTr="006B7366">
        <w:trPr>
          <w:cantSplit/>
        </w:trPr>
        <w:tc>
          <w:tcPr>
            <w:tcW w:w="2537" w:type="dxa"/>
          </w:tcPr>
          <w:p w14:paraId="6DB48163"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Report of:</w:t>
            </w:r>
          </w:p>
        </w:tc>
        <w:tc>
          <w:tcPr>
            <w:tcW w:w="6643" w:type="dxa"/>
          </w:tcPr>
          <w:p w14:paraId="40D4A575" w14:textId="77777777" w:rsidR="00E1019A" w:rsidRPr="00131909" w:rsidRDefault="008C593F" w:rsidP="00BA234C">
            <w:pPr>
              <w:pStyle w:val="DefaultText"/>
              <w:tabs>
                <w:tab w:val="left" w:pos="2160"/>
                <w:tab w:val="left" w:pos="7920"/>
              </w:tabs>
              <w:autoSpaceDE/>
              <w:adjustRightInd/>
              <w:rPr>
                <w:rFonts w:ascii="Arial" w:hAnsi="Arial" w:cs="Arial"/>
                <w:sz w:val="22"/>
                <w:szCs w:val="22"/>
                <w:lang w:val="en-GB"/>
              </w:rPr>
            </w:pPr>
            <w:r w:rsidRPr="00131909">
              <w:rPr>
                <w:rFonts w:ascii="Arial" w:hAnsi="Arial" w:cs="Arial"/>
                <w:sz w:val="22"/>
                <w:szCs w:val="22"/>
                <w:lang w:val="en-GB"/>
              </w:rPr>
              <w:t>Roy Newton</w:t>
            </w:r>
          </w:p>
        </w:tc>
      </w:tr>
      <w:tr w:rsidR="00E1019A" w:rsidRPr="00131909" w14:paraId="67F6ED5A" w14:textId="77777777" w:rsidTr="006B7366">
        <w:trPr>
          <w:cantSplit/>
        </w:trPr>
        <w:tc>
          <w:tcPr>
            <w:tcW w:w="2537" w:type="dxa"/>
          </w:tcPr>
          <w:p w14:paraId="74DB46A4" w14:textId="77777777" w:rsidR="00E1019A" w:rsidRPr="00131909" w:rsidRDefault="00E1019A" w:rsidP="00BA234C">
            <w:pPr>
              <w:tabs>
                <w:tab w:val="left" w:pos="2160"/>
                <w:tab w:val="left" w:pos="7920"/>
              </w:tabs>
              <w:rPr>
                <w:rFonts w:ascii="Arial" w:hAnsi="Arial" w:cs="Arial"/>
                <w:b/>
                <w:bCs/>
                <w:sz w:val="22"/>
                <w:szCs w:val="22"/>
              </w:rPr>
            </w:pPr>
            <w:r w:rsidRPr="00131909">
              <w:rPr>
                <w:rFonts w:ascii="Arial" w:hAnsi="Arial" w:cs="Arial"/>
                <w:b/>
                <w:bCs/>
                <w:sz w:val="22"/>
                <w:szCs w:val="22"/>
              </w:rPr>
              <w:t>Subject/Title:</w:t>
            </w:r>
          </w:p>
        </w:tc>
        <w:tc>
          <w:tcPr>
            <w:tcW w:w="6643" w:type="dxa"/>
          </w:tcPr>
          <w:p w14:paraId="1B31FE56" w14:textId="779C2FD2" w:rsidR="00E1019A" w:rsidRPr="00131909" w:rsidRDefault="00031D61" w:rsidP="00BA234C">
            <w:pPr>
              <w:pStyle w:val="DefaultText"/>
              <w:tabs>
                <w:tab w:val="left" w:pos="2160"/>
                <w:tab w:val="left" w:pos="7920"/>
              </w:tabs>
              <w:autoSpaceDE/>
              <w:adjustRightInd/>
              <w:rPr>
                <w:rFonts w:ascii="Arial" w:hAnsi="Arial" w:cs="Arial"/>
                <w:sz w:val="22"/>
                <w:szCs w:val="22"/>
                <w:lang w:val="en-GB"/>
              </w:rPr>
            </w:pPr>
            <w:r>
              <w:rPr>
                <w:rFonts w:ascii="Arial" w:hAnsi="Arial" w:cs="Arial"/>
                <w:sz w:val="22"/>
                <w:szCs w:val="22"/>
                <w:lang w:val="en-GB"/>
              </w:rPr>
              <w:t>Government Response to Crewe Hub Consultation</w:t>
            </w:r>
          </w:p>
        </w:tc>
      </w:tr>
      <w:tr w:rsidR="000934E0" w:rsidRPr="00131909" w14:paraId="2244D836" w14:textId="77777777" w:rsidTr="006B7366">
        <w:trPr>
          <w:cantSplit/>
        </w:trPr>
        <w:tc>
          <w:tcPr>
            <w:tcW w:w="2537" w:type="dxa"/>
          </w:tcPr>
          <w:p w14:paraId="06FC73CF" w14:textId="77777777" w:rsidR="000934E0" w:rsidRPr="00131909" w:rsidRDefault="000934E0" w:rsidP="00BA234C">
            <w:pPr>
              <w:tabs>
                <w:tab w:val="left" w:pos="2160"/>
                <w:tab w:val="left" w:pos="7920"/>
              </w:tabs>
              <w:rPr>
                <w:rFonts w:ascii="Arial" w:hAnsi="Arial" w:cs="Arial"/>
                <w:b/>
                <w:bCs/>
                <w:sz w:val="22"/>
                <w:szCs w:val="22"/>
              </w:rPr>
            </w:pPr>
          </w:p>
        </w:tc>
        <w:tc>
          <w:tcPr>
            <w:tcW w:w="6643" w:type="dxa"/>
          </w:tcPr>
          <w:p w14:paraId="1DF38512" w14:textId="77777777" w:rsidR="000934E0" w:rsidRPr="00131909" w:rsidRDefault="000934E0" w:rsidP="00BA234C">
            <w:pPr>
              <w:pStyle w:val="DefaultText"/>
              <w:tabs>
                <w:tab w:val="left" w:pos="2160"/>
                <w:tab w:val="left" w:pos="7920"/>
              </w:tabs>
              <w:autoSpaceDE/>
              <w:adjustRightInd/>
              <w:rPr>
                <w:rFonts w:ascii="Arial" w:hAnsi="Arial" w:cs="Arial"/>
                <w:bCs/>
                <w:sz w:val="22"/>
                <w:szCs w:val="22"/>
              </w:rPr>
            </w:pPr>
          </w:p>
        </w:tc>
      </w:tr>
    </w:tbl>
    <w:p w14:paraId="46274CD5" w14:textId="77777777" w:rsidR="00C173E7" w:rsidRPr="00131909" w:rsidRDefault="00C173E7" w:rsidP="00E1019A">
      <w:pPr>
        <w:tabs>
          <w:tab w:val="left" w:pos="2160"/>
          <w:tab w:val="left" w:pos="9180"/>
        </w:tabs>
        <w:ind w:right="390"/>
        <w:rPr>
          <w:rFonts w:ascii="Arial" w:hAnsi="Arial" w:cs="Arial"/>
          <w:sz w:val="22"/>
          <w:szCs w:val="22"/>
        </w:rPr>
      </w:pPr>
    </w:p>
    <w:p w14:paraId="6CBB7093" w14:textId="77777777" w:rsidR="00C173E7" w:rsidRPr="00131909" w:rsidRDefault="00C173E7"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 xml:space="preserve">Report Summary </w:t>
      </w:r>
    </w:p>
    <w:p w14:paraId="6DDAB880" w14:textId="437A905F" w:rsidR="00F53741" w:rsidRPr="00031D61" w:rsidRDefault="00031D61" w:rsidP="00031D61">
      <w:pPr>
        <w:pStyle w:val="NoSpacing"/>
        <w:numPr>
          <w:ilvl w:val="1"/>
          <w:numId w:val="33"/>
        </w:numPr>
        <w:spacing w:after="120"/>
        <w:ind w:left="709" w:hanging="709"/>
        <w:jc w:val="both"/>
        <w:rPr>
          <w:rFonts w:ascii="Arial" w:hAnsi="Arial" w:cs="Arial"/>
          <w:sz w:val="22"/>
          <w:szCs w:val="22"/>
        </w:rPr>
      </w:pPr>
      <w:r w:rsidRPr="00031D61">
        <w:rPr>
          <w:rFonts w:ascii="Arial" w:hAnsi="Arial" w:cs="Arial"/>
          <w:sz w:val="22"/>
          <w:szCs w:val="22"/>
        </w:rPr>
        <w:t>On 17 July 2017, the Secretary of State for Transport launched a consultation to seek views on the vision for a Crewe Hub. The consultation set out options which could give Crewe and the surrounding region even better access to high speed services, serving more destinations. The consultation closed on 12 October 2017</w:t>
      </w:r>
      <w:r w:rsidR="009976F7">
        <w:rPr>
          <w:rFonts w:ascii="Arial" w:hAnsi="Arial" w:cs="Arial"/>
          <w:sz w:val="22"/>
          <w:szCs w:val="22"/>
        </w:rPr>
        <w:t>.</w:t>
      </w:r>
    </w:p>
    <w:p w14:paraId="04CAA565" w14:textId="77777777" w:rsidR="009976F7" w:rsidRDefault="00AF1629" w:rsidP="00AF1629">
      <w:pPr>
        <w:pStyle w:val="NoSpacing"/>
        <w:numPr>
          <w:ilvl w:val="1"/>
          <w:numId w:val="33"/>
        </w:numPr>
        <w:spacing w:after="120"/>
        <w:ind w:left="709" w:hanging="709"/>
        <w:jc w:val="both"/>
        <w:rPr>
          <w:rFonts w:ascii="Arial" w:hAnsi="Arial" w:cs="Arial"/>
          <w:sz w:val="22"/>
          <w:szCs w:val="22"/>
        </w:rPr>
      </w:pPr>
      <w:r w:rsidRPr="00AF1629">
        <w:rPr>
          <w:rFonts w:ascii="Arial" w:hAnsi="Arial" w:cs="Arial"/>
          <w:sz w:val="22"/>
          <w:szCs w:val="22"/>
        </w:rPr>
        <w:tab/>
        <w:t>The Government published its response to the HS2 Crewe Hub consultation on Friday 9 March</w:t>
      </w:r>
      <w:r w:rsidR="009976F7">
        <w:rPr>
          <w:rFonts w:ascii="Arial" w:hAnsi="Arial" w:cs="Arial"/>
          <w:sz w:val="22"/>
          <w:szCs w:val="22"/>
        </w:rPr>
        <w:t>.  T</w:t>
      </w:r>
      <w:r w:rsidR="009976F7" w:rsidRPr="00031D61">
        <w:rPr>
          <w:rFonts w:ascii="Arial" w:hAnsi="Arial" w:cs="Arial"/>
          <w:sz w:val="22"/>
          <w:szCs w:val="22"/>
        </w:rPr>
        <w:t>here were 146 responses. Both individual and stakeholder responses indicated broad support for the concept of a Crewe Hub, including the splitting and joining of HS2 services at Crewe, a junction north of Crewe, and the strategy of combining this with Network Rail (NR) renewals work.</w:t>
      </w:r>
    </w:p>
    <w:p w14:paraId="13366259" w14:textId="118AA13D" w:rsidR="00AF1629" w:rsidRPr="00AF1629" w:rsidRDefault="009976F7" w:rsidP="00AF1629">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The Government</w:t>
      </w:r>
      <w:r w:rsidR="00AF1629" w:rsidRPr="00AF1629">
        <w:rPr>
          <w:rFonts w:ascii="Arial" w:hAnsi="Arial" w:cs="Arial"/>
          <w:sz w:val="22"/>
          <w:szCs w:val="22"/>
        </w:rPr>
        <w:t xml:space="preserve"> has accepted the arguments </w:t>
      </w:r>
      <w:r>
        <w:rPr>
          <w:rFonts w:ascii="Arial" w:hAnsi="Arial" w:cs="Arial"/>
          <w:sz w:val="22"/>
          <w:szCs w:val="22"/>
        </w:rPr>
        <w:t>the LTB</w:t>
      </w:r>
      <w:r w:rsidR="00AF1629" w:rsidRPr="00AF1629">
        <w:rPr>
          <w:rFonts w:ascii="Arial" w:hAnsi="Arial" w:cs="Arial"/>
          <w:sz w:val="22"/>
          <w:szCs w:val="22"/>
        </w:rPr>
        <w:t xml:space="preserve"> and partners made about the regeneration and growth benefits of 5 – 7 trains per hour calling at Crewe on HS2, and 3–4 trains per hour on the regional lines that radiate out of Crewe. It will therefore be designing the station to deliver these service levels, though it also makes clear that it is still looking for a local contribution to the cost.</w:t>
      </w:r>
    </w:p>
    <w:p w14:paraId="421CBF24" w14:textId="77777777" w:rsidR="000A27A1" w:rsidRDefault="00AF1629" w:rsidP="00AF1629">
      <w:pPr>
        <w:pStyle w:val="NoSpacing"/>
        <w:numPr>
          <w:ilvl w:val="1"/>
          <w:numId w:val="33"/>
        </w:numPr>
        <w:spacing w:after="120"/>
        <w:ind w:left="709" w:hanging="709"/>
        <w:jc w:val="both"/>
        <w:rPr>
          <w:rFonts w:ascii="Arial" w:hAnsi="Arial" w:cs="Arial"/>
          <w:sz w:val="22"/>
          <w:szCs w:val="22"/>
        </w:rPr>
      </w:pPr>
      <w:r w:rsidRPr="00AF1629">
        <w:rPr>
          <w:rFonts w:ascii="Arial" w:hAnsi="Arial" w:cs="Arial"/>
          <w:sz w:val="22"/>
          <w:szCs w:val="22"/>
        </w:rPr>
        <w:tab/>
        <w:t xml:space="preserve">The Government’s response is </w:t>
      </w:r>
      <w:r w:rsidR="009976F7">
        <w:rPr>
          <w:rFonts w:ascii="Arial" w:hAnsi="Arial" w:cs="Arial"/>
          <w:sz w:val="22"/>
          <w:szCs w:val="22"/>
        </w:rPr>
        <w:t>good</w:t>
      </w:r>
      <w:r w:rsidRPr="00AF1629">
        <w:rPr>
          <w:rFonts w:ascii="Arial" w:hAnsi="Arial" w:cs="Arial"/>
          <w:sz w:val="22"/>
          <w:szCs w:val="22"/>
        </w:rPr>
        <w:t xml:space="preserve"> news but the case for an HS2 junction North of Crewe</w:t>
      </w:r>
      <w:r w:rsidR="009976F7">
        <w:rPr>
          <w:rFonts w:ascii="Arial" w:hAnsi="Arial" w:cs="Arial"/>
          <w:sz w:val="22"/>
          <w:szCs w:val="22"/>
        </w:rPr>
        <w:t xml:space="preserve"> still needs to be made, plus the Government is signalling a need for local contributions to the cost of it</w:t>
      </w:r>
      <w:r w:rsidRPr="00AF1629">
        <w:rPr>
          <w:rFonts w:ascii="Arial" w:hAnsi="Arial" w:cs="Arial"/>
          <w:sz w:val="22"/>
          <w:szCs w:val="22"/>
        </w:rPr>
        <w:t>. This</w:t>
      </w:r>
      <w:r w:rsidR="009976F7">
        <w:rPr>
          <w:rFonts w:ascii="Arial" w:hAnsi="Arial" w:cs="Arial"/>
          <w:sz w:val="22"/>
          <w:szCs w:val="22"/>
        </w:rPr>
        <w:t xml:space="preserve"> is part of Phase 2B so it wa</w:t>
      </w:r>
      <w:r w:rsidRPr="00AF1629">
        <w:rPr>
          <w:rFonts w:ascii="Arial" w:hAnsi="Arial" w:cs="Arial"/>
          <w:sz w:val="22"/>
          <w:szCs w:val="22"/>
        </w:rPr>
        <w:t xml:space="preserve">s </w:t>
      </w:r>
      <w:r w:rsidR="009976F7">
        <w:rPr>
          <w:rFonts w:ascii="Arial" w:hAnsi="Arial" w:cs="Arial"/>
          <w:sz w:val="22"/>
          <w:szCs w:val="22"/>
        </w:rPr>
        <w:t xml:space="preserve">expected </w:t>
      </w:r>
      <w:r w:rsidRPr="00AF1629">
        <w:rPr>
          <w:rFonts w:ascii="Arial" w:hAnsi="Arial" w:cs="Arial"/>
          <w:sz w:val="22"/>
          <w:szCs w:val="22"/>
        </w:rPr>
        <w:t xml:space="preserve">that the Government </w:t>
      </w:r>
      <w:r w:rsidR="009976F7">
        <w:rPr>
          <w:rFonts w:ascii="Arial" w:hAnsi="Arial" w:cs="Arial"/>
          <w:sz w:val="22"/>
          <w:szCs w:val="22"/>
        </w:rPr>
        <w:t xml:space="preserve">would not </w:t>
      </w:r>
      <w:r w:rsidRPr="00AF1629">
        <w:rPr>
          <w:rFonts w:ascii="Arial" w:hAnsi="Arial" w:cs="Arial"/>
          <w:sz w:val="22"/>
          <w:szCs w:val="22"/>
        </w:rPr>
        <w:t>ma</w:t>
      </w:r>
      <w:r w:rsidR="009976F7">
        <w:rPr>
          <w:rFonts w:ascii="Arial" w:hAnsi="Arial" w:cs="Arial"/>
          <w:sz w:val="22"/>
          <w:szCs w:val="22"/>
        </w:rPr>
        <w:t>k</w:t>
      </w:r>
      <w:r w:rsidRPr="00AF1629">
        <w:rPr>
          <w:rFonts w:ascii="Arial" w:hAnsi="Arial" w:cs="Arial"/>
          <w:sz w:val="22"/>
          <w:szCs w:val="22"/>
        </w:rPr>
        <w:t xml:space="preserve">e a decision at this time. However, without the junction, </w:t>
      </w:r>
      <w:r w:rsidR="009976F7">
        <w:rPr>
          <w:rFonts w:ascii="Arial" w:hAnsi="Arial" w:cs="Arial"/>
          <w:sz w:val="22"/>
          <w:szCs w:val="22"/>
        </w:rPr>
        <w:t>there would be insufficient capacity at to meet our service ambitions</w:t>
      </w:r>
      <w:r w:rsidRPr="00AF1629">
        <w:rPr>
          <w:rFonts w:ascii="Arial" w:hAnsi="Arial" w:cs="Arial"/>
          <w:sz w:val="22"/>
          <w:szCs w:val="22"/>
        </w:rPr>
        <w:t xml:space="preserve">. The Government also makes clear that although it is designing Crewe station to accommodate 3 – 4 trains per hour on the regional lines, running these services also requires changes to the infrastructure elsewhere on those routes. </w:t>
      </w:r>
      <w:r w:rsidR="009976F7">
        <w:rPr>
          <w:rFonts w:ascii="Arial" w:hAnsi="Arial" w:cs="Arial"/>
          <w:sz w:val="22"/>
          <w:szCs w:val="22"/>
        </w:rPr>
        <w:t>The LTB</w:t>
      </w:r>
      <w:r w:rsidRPr="00AF1629">
        <w:rPr>
          <w:rFonts w:ascii="Arial" w:hAnsi="Arial" w:cs="Arial"/>
          <w:sz w:val="22"/>
          <w:szCs w:val="22"/>
        </w:rPr>
        <w:t xml:space="preserve"> and </w:t>
      </w:r>
      <w:r w:rsidR="009976F7">
        <w:rPr>
          <w:rFonts w:ascii="Arial" w:hAnsi="Arial" w:cs="Arial"/>
          <w:sz w:val="22"/>
          <w:szCs w:val="22"/>
        </w:rPr>
        <w:t>wider</w:t>
      </w:r>
      <w:r w:rsidRPr="00AF1629">
        <w:rPr>
          <w:rFonts w:ascii="Arial" w:hAnsi="Arial" w:cs="Arial"/>
          <w:sz w:val="22"/>
          <w:szCs w:val="22"/>
        </w:rPr>
        <w:t xml:space="preserve"> partners will need to consider the changes that are needed, and how to fund them.</w:t>
      </w:r>
    </w:p>
    <w:p w14:paraId="75932588" w14:textId="4A1AEF05" w:rsidR="00031D61" w:rsidRPr="00031D61" w:rsidRDefault="000A27A1" w:rsidP="00AF1629">
      <w:pPr>
        <w:pStyle w:val="NoSpacing"/>
        <w:numPr>
          <w:ilvl w:val="1"/>
          <w:numId w:val="33"/>
        </w:numPr>
        <w:spacing w:after="120"/>
        <w:ind w:left="709" w:hanging="709"/>
        <w:jc w:val="both"/>
        <w:rPr>
          <w:rFonts w:ascii="Arial" w:hAnsi="Arial" w:cs="Arial"/>
          <w:sz w:val="22"/>
          <w:szCs w:val="22"/>
        </w:rPr>
      </w:pPr>
      <w:r>
        <w:rPr>
          <w:rFonts w:ascii="Arial" w:hAnsi="Arial" w:cs="Arial"/>
          <w:sz w:val="22"/>
          <w:szCs w:val="22"/>
        </w:rPr>
        <w:t>The next step is to engage DfT about the process we need to undertake to deliver the regional services we’ve been arguing for.</w:t>
      </w:r>
      <w:r w:rsidR="005D0043">
        <w:rPr>
          <w:rFonts w:ascii="Arial" w:hAnsi="Arial" w:cs="Arial"/>
          <w:sz w:val="22"/>
          <w:szCs w:val="22"/>
        </w:rPr>
        <w:t xml:space="preserve">  Cathy Miller, Deputy Director North and Devolution, DfT is coming up for a meeting </w:t>
      </w:r>
      <w:r>
        <w:rPr>
          <w:rFonts w:ascii="Arial" w:hAnsi="Arial" w:cs="Arial"/>
          <w:sz w:val="22"/>
          <w:szCs w:val="22"/>
        </w:rPr>
        <w:t>on</w:t>
      </w:r>
      <w:r w:rsidR="008F4362">
        <w:rPr>
          <w:rFonts w:ascii="Arial" w:hAnsi="Arial" w:cs="Arial"/>
          <w:sz w:val="22"/>
          <w:szCs w:val="22"/>
        </w:rPr>
        <w:t xml:space="preserve"> Friday 27 April</w:t>
      </w:r>
      <w:r w:rsidR="005D0043">
        <w:rPr>
          <w:rFonts w:ascii="Arial" w:hAnsi="Arial" w:cs="Arial"/>
          <w:sz w:val="22"/>
          <w:szCs w:val="22"/>
        </w:rPr>
        <w:t xml:space="preserve"> to start these discussions.</w:t>
      </w:r>
      <w:r>
        <w:rPr>
          <w:rFonts w:ascii="Arial" w:hAnsi="Arial" w:cs="Arial"/>
          <w:sz w:val="22"/>
          <w:szCs w:val="22"/>
        </w:rPr>
        <w:t xml:space="preserve">  The discussions will involve the wider pan-region covering </w:t>
      </w:r>
      <w:proofErr w:type="gramStart"/>
      <w:r>
        <w:rPr>
          <w:rFonts w:ascii="Arial" w:hAnsi="Arial" w:cs="Arial"/>
          <w:sz w:val="22"/>
          <w:szCs w:val="22"/>
        </w:rPr>
        <w:t>North</w:t>
      </w:r>
      <w:proofErr w:type="gramEnd"/>
      <w:r>
        <w:rPr>
          <w:rFonts w:ascii="Arial" w:hAnsi="Arial" w:cs="Arial"/>
          <w:sz w:val="22"/>
          <w:szCs w:val="22"/>
        </w:rPr>
        <w:t xml:space="preserve"> Wales, Shropshire and Stoke/Staffordshire. </w:t>
      </w:r>
    </w:p>
    <w:p w14:paraId="59C343A2" w14:textId="3CF31BF0" w:rsidR="00C62BA3" w:rsidRPr="00131909" w:rsidRDefault="00FC3A4E" w:rsidP="00131909">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tab/>
        <w:t>Recommendation</w:t>
      </w:r>
    </w:p>
    <w:p w14:paraId="56A5EBF0" w14:textId="2C1012DB" w:rsidR="00843AB2" w:rsidRPr="005C7990" w:rsidRDefault="00323BB0" w:rsidP="005C7990">
      <w:pPr>
        <w:pStyle w:val="NoSpacing"/>
        <w:numPr>
          <w:ilvl w:val="1"/>
          <w:numId w:val="33"/>
        </w:numPr>
        <w:spacing w:after="120"/>
        <w:ind w:left="709" w:hanging="709"/>
        <w:jc w:val="both"/>
        <w:rPr>
          <w:rFonts w:ascii="Arial" w:hAnsi="Arial" w:cs="Arial"/>
          <w:sz w:val="22"/>
          <w:szCs w:val="22"/>
        </w:rPr>
      </w:pPr>
      <w:r w:rsidRPr="005C7990">
        <w:rPr>
          <w:rFonts w:ascii="Arial" w:hAnsi="Arial" w:cs="Arial"/>
          <w:sz w:val="22"/>
          <w:szCs w:val="22"/>
        </w:rPr>
        <w:t>The Local Transport Bo</w:t>
      </w:r>
      <w:r w:rsidR="00FC3A4E" w:rsidRPr="005C7990">
        <w:rPr>
          <w:rFonts w:ascii="Arial" w:hAnsi="Arial" w:cs="Arial"/>
          <w:sz w:val="22"/>
          <w:szCs w:val="22"/>
        </w:rPr>
        <w:t>dy</w:t>
      </w:r>
      <w:r w:rsidRPr="005C7990">
        <w:rPr>
          <w:rFonts w:ascii="Arial" w:hAnsi="Arial" w:cs="Arial"/>
          <w:sz w:val="22"/>
          <w:szCs w:val="22"/>
        </w:rPr>
        <w:t xml:space="preserve"> </w:t>
      </w:r>
      <w:r w:rsidR="00FC3A4E" w:rsidRPr="005C7990">
        <w:rPr>
          <w:rFonts w:ascii="Arial" w:hAnsi="Arial" w:cs="Arial"/>
          <w:sz w:val="22"/>
          <w:szCs w:val="22"/>
        </w:rPr>
        <w:t xml:space="preserve">is asked to </w:t>
      </w:r>
      <w:r w:rsidR="00031D61">
        <w:rPr>
          <w:rFonts w:ascii="Arial" w:hAnsi="Arial" w:cs="Arial"/>
          <w:sz w:val="22"/>
          <w:szCs w:val="22"/>
        </w:rPr>
        <w:t>note the Government’s response to the Crewe Hub consultation</w:t>
      </w:r>
      <w:r w:rsidR="00DD17A3" w:rsidRPr="005C7990">
        <w:rPr>
          <w:rFonts w:ascii="Arial" w:hAnsi="Arial" w:cs="Arial"/>
          <w:sz w:val="22"/>
          <w:szCs w:val="22"/>
        </w:rPr>
        <w:t>.</w:t>
      </w:r>
      <w:r w:rsidRPr="005C7990">
        <w:rPr>
          <w:rFonts w:ascii="Arial" w:hAnsi="Arial" w:cs="Arial"/>
          <w:sz w:val="22"/>
          <w:szCs w:val="22"/>
        </w:rPr>
        <w:t xml:space="preserve"> </w:t>
      </w:r>
      <w:r w:rsidR="00843AB2" w:rsidRPr="005C7990">
        <w:rPr>
          <w:rFonts w:ascii="Arial" w:hAnsi="Arial" w:cs="Arial"/>
          <w:sz w:val="22"/>
          <w:szCs w:val="22"/>
        </w:rPr>
        <w:br w:type="page"/>
      </w:r>
    </w:p>
    <w:p w14:paraId="365945AF" w14:textId="77777777" w:rsidR="00323BB0" w:rsidRPr="00131909" w:rsidRDefault="00323BB0" w:rsidP="005C7990">
      <w:pPr>
        <w:pStyle w:val="NoSpacing"/>
        <w:numPr>
          <w:ilvl w:val="0"/>
          <w:numId w:val="33"/>
        </w:numPr>
        <w:spacing w:before="240" w:after="240"/>
        <w:ind w:left="709" w:hanging="709"/>
        <w:jc w:val="both"/>
        <w:rPr>
          <w:rFonts w:ascii="Arial" w:hAnsi="Arial" w:cs="Arial"/>
          <w:b/>
          <w:sz w:val="22"/>
          <w:szCs w:val="22"/>
        </w:rPr>
      </w:pPr>
      <w:r w:rsidRPr="00131909">
        <w:rPr>
          <w:rFonts w:ascii="Arial" w:hAnsi="Arial" w:cs="Arial"/>
          <w:b/>
          <w:sz w:val="22"/>
          <w:szCs w:val="22"/>
        </w:rPr>
        <w:lastRenderedPageBreak/>
        <w:t>Background</w:t>
      </w:r>
    </w:p>
    <w:p w14:paraId="365C2E56" w14:textId="014C0040" w:rsidR="007556FC" w:rsidRPr="002261EA" w:rsidRDefault="002261EA" w:rsidP="002261EA">
      <w:pPr>
        <w:pStyle w:val="NoSpacing"/>
        <w:numPr>
          <w:ilvl w:val="1"/>
          <w:numId w:val="33"/>
        </w:numPr>
        <w:spacing w:after="120"/>
        <w:ind w:left="709" w:hanging="709"/>
        <w:jc w:val="both"/>
        <w:rPr>
          <w:rFonts w:ascii="Arial" w:hAnsi="Arial" w:cs="Arial"/>
          <w:sz w:val="22"/>
          <w:szCs w:val="22"/>
        </w:rPr>
      </w:pPr>
      <w:r w:rsidRPr="002261EA">
        <w:rPr>
          <w:rFonts w:ascii="Arial" w:hAnsi="Arial" w:cs="Arial"/>
          <w:sz w:val="22"/>
          <w:szCs w:val="22"/>
        </w:rPr>
        <w:t>On 17 July 2017, the Secretary of State for Transport launched a consultation to seek views on the vision for a Crewe Hub. The consultation set out options which could give Crewe and the surrounding region even better access to high speed services, serving more destinations. The consultation closed on 12 October 2017, and there were 146 responses. Both individual and stakeholder responses indicated broad support for the concept of a Crewe Hub, including the splitting and joining of HS2 services at Crewe, a junction north of Crewe, and the strategy of combining this with Network Rail (NR) renewals work.</w:t>
      </w:r>
    </w:p>
    <w:p w14:paraId="6B9E5591" w14:textId="7A4EDE87" w:rsidR="00957660" w:rsidRPr="00131909" w:rsidRDefault="002261EA" w:rsidP="00131909">
      <w:pPr>
        <w:pStyle w:val="NoSpacing"/>
        <w:numPr>
          <w:ilvl w:val="0"/>
          <w:numId w:val="33"/>
        </w:numPr>
        <w:spacing w:before="240" w:after="240"/>
        <w:ind w:left="709" w:hanging="709"/>
        <w:jc w:val="both"/>
        <w:rPr>
          <w:rFonts w:ascii="Arial" w:hAnsi="Arial" w:cs="Arial"/>
          <w:b/>
          <w:sz w:val="22"/>
          <w:szCs w:val="22"/>
        </w:rPr>
      </w:pPr>
      <w:r>
        <w:rPr>
          <w:rFonts w:ascii="Arial" w:hAnsi="Arial" w:cs="Arial"/>
          <w:b/>
          <w:sz w:val="22"/>
          <w:szCs w:val="22"/>
        </w:rPr>
        <w:t>Crewe Station</w:t>
      </w:r>
    </w:p>
    <w:p w14:paraId="0255ECBC" w14:textId="557C4F49" w:rsidR="002261EA" w:rsidRPr="002261EA" w:rsidRDefault="002261EA" w:rsidP="002261EA">
      <w:pPr>
        <w:pStyle w:val="NoSpacing"/>
        <w:numPr>
          <w:ilvl w:val="1"/>
          <w:numId w:val="33"/>
        </w:numPr>
        <w:spacing w:before="240" w:after="240"/>
        <w:ind w:left="709" w:hanging="709"/>
        <w:jc w:val="both"/>
        <w:rPr>
          <w:rFonts w:ascii="Arial" w:hAnsi="Arial" w:cs="Arial"/>
          <w:sz w:val="22"/>
          <w:szCs w:val="22"/>
        </w:rPr>
      </w:pPr>
      <w:r w:rsidRPr="002261EA">
        <w:rPr>
          <w:rFonts w:ascii="Arial" w:hAnsi="Arial" w:cs="Arial"/>
          <w:sz w:val="22"/>
          <w:szCs w:val="22"/>
        </w:rPr>
        <w:t>The Se</w:t>
      </w:r>
      <w:bookmarkStart w:id="0" w:name="_GoBack"/>
      <w:bookmarkEnd w:id="0"/>
      <w:r w:rsidRPr="002261EA">
        <w:rPr>
          <w:rFonts w:ascii="Arial" w:hAnsi="Arial" w:cs="Arial"/>
          <w:sz w:val="22"/>
          <w:szCs w:val="22"/>
        </w:rPr>
        <w:t xml:space="preserve">cretary of State has confirmed the Government’s support for the Crewe Hub vision. To that end plans for </w:t>
      </w:r>
      <w:r w:rsidRPr="002261EA">
        <w:rPr>
          <w:rFonts w:ascii="Arial" w:hAnsi="Arial" w:cs="Arial"/>
          <w:b/>
          <w:sz w:val="22"/>
          <w:szCs w:val="22"/>
        </w:rPr>
        <w:t>HS2 Phase 2a</w:t>
      </w:r>
      <w:r w:rsidRPr="002261EA">
        <w:rPr>
          <w:rFonts w:ascii="Arial" w:hAnsi="Arial" w:cs="Arial"/>
          <w:sz w:val="22"/>
          <w:szCs w:val="22"/>
        </w:rPr>
        <w:t xml:space="preserve"> will be modified to include:</w:t>
      </w:r>
    </w:p>
    <w:p w14:paraId="35679913" w14:textId="77777777" w:rsidR="002261EA" w:rsidRPr="002261EA" w:rsidRDefault="002261EA" w:rsidP="002261EA">
      <w:pPr>
        <w:pStyle w:val="NoSpacing"/>
        <w:numPr>
          <w:ilvl w:val="0"/>
          <w:numId w:val="38"/>
        </w:numPr>
        <w:spacing w:after="120"/>
        <w:jc w:val="both"/>
        <w:rPr>
          <w:rFonts w:ascii="Arial" w:hAnsi="Arial" w:cs="Arial"/>
          <w:sz w:val="22"/>
          <w:szCs w:val="22"/>
        </w:rPr>
      </w:pPr>
      <w:r w:rsidRPr="002261EA">
        <w:rPr>
          <w:rFonts w:ascii="Arial" w:hAnsi="Arial" w:cs="Arial"/>
          <w:sz w:val="22"/>
          <w:szCs w:val="22"/>
        </w:rPr>
        <w:t>provision of 400m platforms, extending Platform 5, to allow for the splitting and joining of HS2 services, which also opens opportunities to serve Stoke-On-Trent via HS2;</w:t>
      </w:r>
    </w:p>
    <w:p w14:paraId="62685142" w14:textId="77777777" w:rsidR="002261EA" w:rsidRPr="002261EA" w:rsidRDefault="002261EA" w:rsidP="002261EA">
      <w:pPr>
        <w:pStyle w:val="NoSpacing"/>
        <w:numPr>
          <w:ilvl w:val="0"/>
          <w:numId w:val="38"/>
        </w:numPr>
        <w:spacing w:after="120"/>
        <w:jc w:val="both"/>
        <w:rPr>
          <w:rFonts w:ascii="Arial" w:hAnsi="Arial" w:cs="Arial"/>
          <w:sz w:val="22"/>
          <w:szCs w:val="22"/>
        </w:rPr>
      </w:pPr>
      <w:r w:rsidRPr="002261EA">
        <w:rPr>
          <w:rFonts w:ascii="Arial" w:hAnsi="Arial" w:cs="Arial"/>
          <w:sz w:val="22"/>
          <w:szCs w:val="22"/>
        </w:rPr>
        <w:t>a more efficient design for the proposed platform on the Manchester independent lines, incorporating a transfer deck to the main station; and</w:t>
      </w:r>
    </w:p>
    <w:p w14:paraId="57023C46" w14:textId="77777777" w:rsidR="002261EA" w:rsidRPr="002261EA" w:rsidRDefault="002261EA" w:rsidP="002261EA">
      <w:pPr>
        <w:pStyle w:val="NoSpacing"/>
        <w:numPr>
          <w:ilvl w:val="0"/>
          <w:numId w:val="38"/>
        </w:numPr>
        <w:spacing w:after="120"/>
        <w:jc w:val="both"/>
        <w:rPr>
          <w:rFonts w:ascii="Arial" w:hAnsi="Arial" w:cs="Arial"/>
          <w:sz w:val="22"/>
          <w:szCs w:val="22"/>
        </w:rPr>
      </w:pPr>
      <w:r w:rsidRPr="002261EA">
        <w:rPr>
          <w:rFonts w:ascii="Arial" w:hAnsi="Arial" w:cs="Arial"/>
          <w:sz w:val="22"/>
          <w:szCs w:val="22"/>
        </w:rPr>
        <w:t>a change to the design of the southern connection from HS2, so that HS2 joins (and takes over) the central two lines on the existing network:</w:t>
      </w:r>
    </w:p>
    <w:p w14:paraId="0BCF2778" w14:textId="17383D73" w:rsidR="002261EA" w:rsidRPr="002261EA" w:rsidRDefault="002261EA" w:rsidP="002261EA">
      <w:pPr>
        <w:pStyle w:val="NoSpacing"/>
        <w:numPr>
          <w:ilvl w:val="1"/>
          <w:numId w:val="33"/>
        </w:numPr>
        <w:spacing w:before="240" w:after="240"/>
        <w:ind w:left="709" w:hanging="709"/>
        <w:rPr>
          <w:rFonts w:ascii="Arial" w:hAnsi="Arial" w:cs="Arial"/>
          <w:sz w:val="22"/>
          <w:szCs w:val="22"/>
        </w:rPr>
      </w:pPr>
      <w:r w:rsidRPr="002261EA">
        <w:rPr>
          <w:rFonts w:ascii="Arial" w:hAnsi="Arial" w:cs="Arial"/>
          <w:sz w:val="22"/>
          <w:szCs w:val="22"/>
        </w:rPr>
        <w:t xml:space="preserve">Realising the Crewe Hub vision in full </w:t>
      </w:r>
      <w:r>
        <w:rPr>
          <w:rFonts w:ascii="Arial" w:hAnsi="Arial" w:cs="Arial"/>
          <w:sz w:val="22"/>
          <w:szCs w:val="22"/>
        </w:rPr>
        <w:t>“</w:t>
      </w:r>
      <w:r w:rsidRPr="002261EA">
        <w:rPr>
          <w:rFonts w:ascii="Arial" w:hAnsi="Arial" w:cs="Arial"/>
          <w:sz w:val="22"/>
          <w:szCs w:val="22"/>
        </w:rPr>
        <w:t xml:space="preserve">will require delivery of the planned Network Rail renewals, local and national government working together, and </w:t>
      </w:r>
      <w:r w:rsidRPr="002261EA">
        <w:rPr>
          <w:rFonts w:ascii="Arial" w:hAnsi="Arial" w:cs="Arial"/>
          <w:b/>
          <w:sz w:val="22"/>
          <w:szCs w:val="22"/>
        </w:rPr>
        <w:t>a local funding contribution</w:t>
      </w:r>
      <w:r>
        <w:rPr>
          <w:rFonts w:ascii="Arial" w:hAnsi="Arial" w:cs="Arial"/>
          <w:b/>
          <w:sz w:val="22"/>
          <w:szCs w:val="22"/>
        </w:rPr>
        <w:t>”</w:t>
      </w:r>
      <w:r w:rsidRPr="002261EA">
        <w:rPr>
          <w:rFonts w:ascii="Arial" w:hAnsi="Arial" w:cs="Arial"/>
          <w:sz w:val="22"/>
          <w:szCs w:val="22"/>
        </w:rPr>
        <w:t xml:space="preserve"> to support future potential investment decisions including for:</w:t>
      </w:r>
    </w:p>
    <w:p w14:paraId="2529D87F" w14:textId="6785AF96" w:rsidR="002261EA" w:rsidRPr="002261EA" w:rsidRDefault="002261EA" w:rsidP="002261EA">
      <w:pPr>
        <w:pStyle w:val="NoSpacing"/>
        <w:numPr>
          <w:ilvl w:val="0"/>
          <w:numId w:val="38"/>
        </w:numPr>
        <w:spacing w:after="120"/>
        <w:jc w:val="both"/>
        <w:rPr>
          <w:rFonts w:ascii="Arial" w:hAnsi="Arial" w:cs="Arial"/>
          <w:sz w:val="22"/>
          <w:szCs w:val="22"/>
        </w:rPr>
      </w:pPr>
      <w:r w:rsidRPr="002261EA">
        <w:rPr>
          <w:rFonts w:ascii="Arial" w:hAnsi="Arial" w:cs="Arial"/>
          <w:sz w:val="22"/>
          <w:szCs w:val="22"/>
        </w:rPr>
        <w:t>a junction north of Crewe, enabling HS2 trains to call at Crewe and then re-join the HS2 main line, as part of Phase 2b</w:t>
      </w:r>
      <w:r>
        <w:rPr>
          <w:rFonts w:ascii="Arial" w:hAnsi="Arial" w:cs="Arial"/>
          <w:sz w:val="22"/>
          <w:szCs w:val="22"/>
        </w:rPr>
        <w:t>; and</w:t>
      </w:r>
    </w:p>
    <w:p w14:paraId="516358ED" w14:textId="2CD1A28F" w:rsidR="002261EA" w:rsidRPr="002261EA" w:rsidRDefault="002261EA" w:rsidP="002261EA">
      <w:pPr>
        <w:pStyle w:val="NoSpacing"/>
        <w:numPr>
          <w:ilvl w:val="0"/>
          <w:numId w:val="38"/>
        </w:numPr>
        <w:spacing w:after="120"/>
        <w:jc w:val="both"/>
        <w:rPr>
          <w:rFonts w:ascii="Arial" w:hAnsi="Arial" w:cs="Arial"/>
          <w:sz w:val="22"/>
          <w:szCs w:val="22"/>
        </w:rPr>
      </w:pPr>
      <w:proofErr w:type="gramStart"/>
      <w:r w:rsidRPr="002261EA">
        <w:rPr>
          <w:rFonts w:ascii="Arial" w:hAnsi="Arial" w:cs="Arial"/>
          <w:sz w:val="22"/>
          <w:szCs w:val="22"/>
        </w:rPr>
        <w:t>completing</w:t>
      </w:r>
      <w:proofErr w:type="gramEnd"/>
      <w:r w:rsidRPr="002261EA">
        <w:rPr>
          <w:rFonts w:ascii="Arial" w:hAnsi="Arial" w:cs="Arial"/>
          <w:sz w:val="22"/>
          <w:szCs w:val="22"/>
        </w:rPr>
        <w:t xml:space="preserve"> the full transfer deck across the station to Weston Road and potentially to </w:t>
      </w:r>
      <w:proofErr w:type="spellStart"/>
      <w:r w:rsidRPr="002261EA">
        <w:rPr>
          <w:rFonts w:ascii="Arial" w:hAnsi="Arial" w:cs="Arial"/>
          <w:sz w:val="22"/>
          <w:szCs w:val="22"/>
        </w:rPr>
        <w:t>Gresty</w:t>
      </w:r>
      <w:proofErr w:type="spellEnd"/>
      <w:r w:rsidRPr="002261EA">
        <w:rPr>
          <w:rFonts w:ascii="Arial" w:hAnsi="Arial" w:cs="Arial"/>
          <w:sz w:val="22"/>
          <w:szCs w:val="22"/>
        </w:rPr>
        <w:t xml:space="preserve"> Road with new entrances to support local regeneration </w:t>
      </w:r>
      <w:r>
        <w:rPr>
          <w:rFonts w:ascii="Arial" w:hAnsi="Arial" w:cs="Arial"/>
          <w:sz w:val="22"/>
          <w:szCs w:val="22"/>
        </w:rPr>
        <w:t>ambitions.</w:t>
      </w:r>
    </w:p>
    <w:p w14:paraId="6B983D4B" w14:textId="1D0731B6" w:rsidR="00462C1B" w:rsidRDefault="002261EA" w:rsidP="002261EA">
      <w:pPr>
        <w:pStyle w:val="NoSpacing"/>
        <w:numPr>
          <w:ilvl w:val="1"/>
          <w:numId w:val="33"/>
        </w:numPr>
        <w:spacing w:before="240" w:after="240"/>
        <w:ind w:left="709" w:hanging="709"/>
        <w:jc w:val="both"/>
        <w:rPr>
          <w:rFonts w:ascii="Arial" w:hAnsi="Arial" w:cs="Arial"/>
          <w:sz w:val="22"/>
          <w:szCs w:val="22"/>
        </w:rPr>
      </w:pPr>
      <w:r w:rsidRPr="002261EA">
        <w:rPr>
          <w:rFonts w:ascii="Arial" w:hAnsi="Arial" w:cs="Arial"/>
          <w:sz w:val="22"/>
          <w:szCs w:val="22"/>
        </w:rPr>
        <w:t>Network Rail continues to evaluate whether, as part of its renewal design, reinstatement of platform 13 would be an affordable alternative to the independent lines platform</w:t>
      </w:r>
      <w:r w:rsidR="00462C1B" w:rsidRPr="002261EA">
        <w:rPr>
          <w:rFonts w:ascii="Arial" w:hAnsi="Arial" w:cs="Arial"/>
          <w:sz w:val="22"/>
          <w:szCs w:val="22"/>
        </w:rPr>
        <w:t>.</w:t>
      </w:r>
    </w:p>
    <w:p w14:paraId="4E27ED5A" w14:textId="0214A363" w:rsidR="006F15C3" w:rsidRPr="006F15C3" w:rsidRDefault="006F15C3" w:rsidP="006F15C3">
      <w:pPr>
        <w:pStyle w:val="NoSpacing"/>
        <w:numPr>
          <w:ilvl w:val="1"/>
          <w:numId w:val="33"/>
        </w:numPr>
        <w:spacing w:before="240" w:after="240"/>
        <w:ind w:left="709" w:hanging="709"/>
        <w:jc w:val="both"/>
        <w:rPr>
          <w:rFonts w:ascii="Arial" w:hAnsi="Arial" w:cs="Arial"/>
          <w:sz w:val="22"/>
          <w:szCs w:val="22"/>
        </w:rPr>
      </w:pPr>
      <w:r w:rsidRPr="006F15C3">
        <w:rPr>
          <w:rFonts w:ascii="Arial" w:hAnsi="Arial" w:cs="Arial"/>
          <w:sz w:val="22"/>
          <w:szCs w:val="22"/>
        </w:rPr>
        <w:t xml:space="preserve">The consultation response confirms that the Secretary of State understands the points </w:t>
      </w:r>
      <w:proofErr w:type="gramStart"/>
      <w:r w:rsidRPr="006F15C3">
        <w:rPr>
          <w:rFonts w:ascii="Arial" w:hAnsi="Arial" w:cs="Arial"/>
          <w:sz w:val="22"/>
          <w:szCs w:val="22"/>
        </w:rPr>
        <w:t>raised</w:t>
      </w:r>
      <w:proofErr w:type="gramEnd"/>
      <w:r w:rsidRPr="006F15C3">
        <w:rPr>
          <w:rFonts w:ascii="Arial" w:hAnsi="Arial" w:cs="Arial"/>
          <w:sz w:val="22"/>
          <w:szCs w:val="22"/>
        </w:rPr>
        <w:t xml:space="preserve"> about Crewe, local and regional train services and that whilst many of the individual issues raised are outside the immediate scope of the Crewe Hub vision, they are nonetheless important for future planning of the rail network. The Government therefore has confirmed that they will work on further developing these with the West Coast Partnership, Network Rail, HS2 Ltd, and industry partners in the future.</w:t>
      </w:r>
    </w:p>
    <w:p w14:paraId="0F87CBD5" w14:textId="6BEA1F8D" w:rsidR="006F15C3" w:rsidRPr="006F15C3" w:rsidRDefault="006F15C3" w:rsidP="006F15C3">
      <w:pPr>
        <w:pStyle w:val="NoSpacing"/>
        <w:numPr>
          <w:ilvl w:val="1"/>
          <w:numId w:val="33"/>
        </w:numPr>
        <w:spacing w:before="240" w:after="240"/>
        <w:ind w:left="709" w:hanging="709"/>
        <w:jc w:val="both"/>
        <w:rPr>
          <w:rFonts w:ascii="Arial" w:hAnsi="Arial" w:cs="Arial"/>
          <w:sz w:val="22"/>
          <w:szCs w:val="22"/>
        </w:rPr>
      </w:pPr>
      <w:r w:rsidRPr="006F15C3">
        <w:rPr>
          <w:rFonts w:ascii="Arial" w:hAnsi="Arial" w:cs="Arial"/>
          <w:sz w:val="22"/>
          <w:szCs w:val="22"/>
        </w:rPr>
        <w:t xml:space="preserve">The consultation response confirms that the options for infrastructure at Crewe do not preclude development of opportunities for future service enhancements and that some may require works outside the Crewe area to be realised.  The West Coast Partnership and other operators will develop options for future services working consultatively with Network Rail, HS2 Ltd, other rail operators and wider stakeholders, taking account of a range of factors including the latest information on demand. Any decision to develop these or other additional service scenarios would need to be on the basis of there being appropriate funding and a full business case. </w:t>
      </w:r>
    </w:p>
    <w:p w14:paraId="6E3A3641" w14:textId="7F4FB21C" w:rsidR="00F463B7" w:rsidRPr="00131909" w:rsidRDefault="002261EA" w:rsidP="00131909">
      <w:pPr>
        <w:pStyle w:val="NoSpacing"/>
        <w:numPr>
          <w:ilvl w:val="0"/>
          <w:numId w:val="33"/>
        </w:numPr>
        <w:spacing w:before="240" w:after="240"/>
        <w:ind w:left="709" w:hanging="709"/>
        <w:jc w:val="both"/>
        <w:rPr>
          <w:rFonts w:ascii="Arial" w:hAnsi="Arial" w:cs="Arial"/>
          <w:b/>
          <w:sz w:val="22"/>
          <w:szCs w:val="22"/>
        </w:rPr>
      </w:pPr>
      <w:r w:rsidRPr="002261EA">
        <w:rPr>
          <w:rFonts w:ascii="Arial" w:hAnsi="Arial" w:cs="Arial"/>
          <w:b/>
          <w:sz w:val="22"/>
          <w:szCs w:val="22"/>
        </w:rPr>
        <w:lastRenderedPageBreak/>
        <w:t>Regeneration and growth</w:t>
      </w:r>
    </w:p>
    <w:p w14:paraId="76992CFF" w14:textId="0C73B2C6" w:rsidR="00FC3A4E" w:rsidRDefault="002261EA" w:rsidP="002261EA">
      <w:pPr>
        <w:pStyle w:val="NoSpacing"/>
        <w:numPr>
          <w:ilvl w:val="1"/>
          <w:numId w:val="33"/>
        </w:numPr>
        <w:spacing w:after="120"/>
        <w:ind w:left="709" w:hanging="709"/>
        <w:jc w:val="both"/>
        <w:rPr>
          <w:rFonts w:ascii="Arial" w:hAnsi="Arial" w:cs="Arial"/>
          <w:sz w:val="22"/>
          <w:szCs w:val="22"/>
        </w:rPr>
      </w:pPr>
      <w:r w:rsidRPr="002261EA">
        <w:rPr>
          <w:rFonts w:ascii="Arial" w:hAnsi="Arial" w:cs="Arial"/>
          <w:sz w:val="22"/>
          <w:szCs w:val="22"/>
        </w:rPr>
        <w:t>The Government acknowledges that the interventions above, if combined with a junction north of Crewe, could in future allow Crewe station to support the ambition of 5–7 HS2 trains per hour calling at Crewe and frequencies of 3-4 trains per hour on each of the regional links. The potential for a transfer deck across the whole of Crewe station with proposed new east and west entrances would additionally improve the passenger environment and support Cheshire East Council’s growth ambitions.</w:t>
      </w:r>
    </w:p>
    <w:p w14:paraId="283BECF9" w14:textId="58E94E07" w:rsidR="00E610EB" w:rsidRPr="00E610EB" w:rsidRDefault="00E610EB" w:rsidP="00E610EB">
      <w:pPr>
        <w:pStyle w:val="NoSpacing"/>
        <w:numPr>
          <w:ilvl w:val="1"/>
          <w:numId w:val="33"/>
        </w:numPr>
        <w:spacing w:after="120"/>
        <w:ind w:left="709" w:hanging="709"/>
        <w:jc w:val="both"/>
        <w:rPr>
          <w:rFonts w:ascii="Arial" w:hAnsi="Arial" w:cs="Arial"/>
          <w:sz w:val="22"/>
          <w:szCs w:val="22"/>
        </w:rPr>
      </w:pPr>
      <w:r w:rsidRPr="00E610EB">
        <w:rPr>
          <w:rFonts w:ascii="Arial" w:hAnsi="Arial" w:cs="Arial"/>
          <w:sz w:val="22"/>
          <w:szCs w:val="22"/>
        </w:rPr>
        <w:t>The Secretary of State notes that enhanced regional connectivity facilitated by a junction north of Crewe has the potential to support additional growth not only around Crewe, but across Cheshire and the rest of the North through increased productivity, housing and jobs growth. Improving HS2 connectivity through a junction north of Crewe could support additional ‘agglomeration effects’ over and above existing plans; further lowering the costs of doing business, driving efficiencies and in turn raising productivity.</w:t>
      </w:r>
    </w:p>
    <w:p w14:paraId="4D9DFF84" w14:textId="139A4CC8" w:rsidR="00E610EB" w:rsidRPr="00E610EB" w:rsidRDefault="00E610EB" w:rsidP="00E610EB">
      <w:pPr>
        <w:pStyle w:val="NoSpacing"/>
        <w:numPr>
          <w:ilvl w:val="1"/>
          <w:numId w:val="33"/>
        </w:numPr>
        <w:spacing w:after="120"/>
        <w:ind w:left="709" w:hanging="709"/>
        <w:jc w:val="both"/>
        <w:rPr>
          <w:rFonts w:ascii="Arial" w:hAnsi="Arial" w:cs="Arial"/>
          <w:sz w:val="22"/>
          <w:szCs w:val="22"/>
        </w:rPr>
      </w:pPr>
      <w:r w:rsidRPr="00E610EB">
        <w:rPr>
          <w:rFonts w:ascii="Arial" w:hAnsi="Arial" w:cs="Arial"/>
          <w:sz w:val="22"/>
          <w:szCs w:val="22"/>
        </w:rPr>
        <w:t>The decision on a junction north of Crewe is for Phase 2b. HS2 Ltd will continue to develop the potential design and business case. Final decisions will be subject to affordability (including the scale of any local contribution to costs) and value for money.</w:t>
      </w:r>
    </w:p>
    <w:p w14:paraId="2FE7B38F" w14:textId="528CF21A" w:rsidR="001C21D2" w:rsidRPr="00131909" w:rsidRDefault="002261EA" w:rsidP="00131909">
      <w:pPr>
        <w:pStyle w:val="NoSpacing"/>
        <w:keepNext/>
        <w:keepLines/>
        <w:numPr>
          <w:ilvl w:val="0"/>
          <w:numId w:val="33"/>
        </w:numPr>
        <w:spacing w:before="240" w:after="240"/>
        <w:ind w:left="709" w:hanging="709"/>
        <w:jc w:val="both"/>
        <w:rPr>
          <w:rFonts w:ascii="Arial" w:hAnsi="Arial" w:cs="Arial"/>
          <w:b/>
          <w:sz w:val="22"/>
          <w:szCs w:val="22"/>
        </w:rPr>
      </w:pPr>
      <w:r>
        <w:rPr>
          <w:rFonts w:ascii="Arial" w:hAnsi="Arial" w:cs="Arial"/>
          <w:b/>
          <w:sz w:val="22"/>
          <w:szCs w:val="22"/>
        </w:rPr>
        <w:t>Freight</w:t>
      </w:r>
    </w:p>
    <w:p w14:paraId="0815C161" w14:textId="5D05AD79" w:rsidR="009976F7" w:rsidRPr="00741D04" w:rsidRDefault="009976F7" w:rsidP="009976F7">
      <w:pPr>
        <w:pStyle w:val="NoSpacing"/>
        <w:numPr>
          <w:ilvl w:val="1"/>
          <w:numId w:val="33"/>
        </w:numPr>
        <w:spacing w:after="120"/>
        <w:ind w:left="709" w:hanging="709"/>
        <w:jc w:val="both"/>
        <w:rPr>
          <w:rFonts w:ascii="Arial" w:hAnsi="Arial" w:cs="Arial"/>
          <w:sz w:val="22"/>
          <w:szCs w:val="22"/>
        </w:rPr>
      </w:pPr>
      <w:r w:rsidRPr="00741D04">
        <w:rPr>
          <w:rFonts w:ascii="Arial" w:hAnsi="Arial" w:cs="Arial"/>
          <w:sz w:val="22"/>
          <w:szCs w:val="22"/>
        </w:rPr>
        <w:t>Crewe is a nationally important rail freight hub, and almost all freight trains on the West Coast Mainline (WCML) are routed through Basford Hall yard, just south of Crewe. The present freight layout was designed to handle trains made up of individual wagons. These have since been superseded by much longer trains, ty</w:t>
      </w:r>
      <w:r w:rsidR="00741D04" w:rsidRPr="00741D04">
        <w:rPr>
          <w:rFonts w:ascii="Arial" w:hAnsi="Arial" w:cs="Arial"/>
          <w:sz w:val="22"/>
          <w:szCs w:val="22"/>
        </w:rPr>
        <w:t xml:space="preserve">pically carrying intermodal </w:t>
      </w:r>
      <w:r w:rsidRPr="00741D04">
        <w:rPr>
          <w:rFonts w:ascii="Arial" w:hAnsi="Arial" w:cs="Arial"/>
          <w:sz w:val="22"/>
          <w:szCs w:val="22"/>
        </w:rPr>
        <w:t>containers.</w:t>
      </w:r>
    </w:p>
    <w:p w14:paraId="149F57FA" w14:textId="53716B03" w:rsidR="00741D04" w:rsidRPr="00741D04" w:rsidRDefault="009976F7" w:rsidP="00741D04">
      <w:pPr>
        <w:pStyle w:val="NoSpacing"/>
        <w:numPr>
          <w:ilvl w:val="1"/>
          <w:numId w:val="33"/>
        </w:numPr>
        <w:spacing w:after="120"/>
        <w:ind w:left="709" w:hanging="709"/>
        <w:jc w:val="both"/>
        <w:rPr>
          <w:rFonts w:ascii="Arial" w:hAnsi="Arial" w:cs="Arial"/>
          <w:sz w:val="22"/>
          <w:szCs w:val="22"/>
        </w:rPr>
      </w:pPr>
      <w:r w:rsidRPr="009976F7">
        <w:rPr>
          <w:rFonts w:ascii="Arial" w:hAnsi="Arial" w:cs="Arial"/>
          <w:sz w:val="22"/>
          <w:szCs w:val="22"/>
        </w:rPr>
        <w:t>Freight operators raised a number of concerns about the Crewe Hub vision, including</w:t>
      </w:r>
      <w:r w:rsidRPr="00741D04">
        <w:rPr>
          <w:rFonts w:ascii="Arial" w:hAnsi="Arial" w:cs="Arial"/>
          <w:sz w:val="22"/>
          <w:szCs w:val="22"/>
        </w:rPr>
        <w:t xml:space="preserve"> their ability to marshal trains on the independent lines. </w:t>
      </w:r>
      <w:r w:rsidR="00741D04">
        <w:rPr>
          <w:rFonts w:ascii="Arial" w:hAnsi="Arial" w:cs="Arial"/>
          <w:sz w:val="22"/>
          <w:szCs w:val="22"/>
        </w:rPr>
        <w:t>M</w:t>
      </w:r>
      <w:r w:rsidRPr="00741D04">
        <w:rPr>
          <w:rFonts w:ascii="Arial" w:hAnsi="Arial" w:cs="Arial"/>
          <w:sz w:val="22"/>
          <w:szCs w:val="22"/>
        </w:rPr>
        <w:t>arshalling</w:t>
      </w:r>
      <w:r w:rsidR="00741D04" w:rsidRPr="00741D04">
        <w:rPr>
          <w:rFonts w:ascii="Arial" w:hAnsi="Arial" w:cs="Arial"/>
          <w:sz w:val="22"/>
          <w:szCs w:val="22"/>
        </w:rPr>
        <w:t xml:space="preserve"> </w:t>
      </w:r>
      <w:r w:rsidRPr="00741D04">
        <w:rPr>
          <w:rFonts w:ascii="Arial" w:hAnsi="Arial" w:cs="Arial"/>
          <w:sz w:val="22"/>
          <w:szCs w:val="22"/>
        </w:rPr>
        <w:t>will need to be reviewed by N</w:t>
      </w:r>
      <w:r w:rsidR="00741D04">
        <w:rPr>
          <w:rFonts w:ascii="Arial" w:hAnsi="Arial" w:cs="Arial"/>
          <w:sz w:val="22"/>
          <w:szCs w:val="22"/>
        </w:rPr>
        <w:t xml:space="preserve">etwork </w:t>
      </w:r>
      <w:r w:rsidRPr="00741D04">
        <w:rPr>
          <w:rFonts w:ascii="Arial" w:hAnsi="Arial" w:cs="Arial"/>
          <w:sz w:val="22"/>
          <w:szCs w:val="22"/>
        </w:rPr>
        <w:t>R</w:t>
      </w:r>
      <w:r w:rsidR="00741D04">
        <w:rPr>
          <w:rFonts w:ascii="Arial" w:hAnsi="Arial" w:cs="Arial"/>
          <w:sz w:val="22"/>
          <w:szCs w:val="22"/>
        </w:rPr>
        <w:t>ail</w:t>
      </w:r>
      <w:r w:rsidRPr="00741D04">
        <w:rPr>
          <w:rFonts w:ascii="Arial" w:hAnsi="Arial" w:cs="Arial"/>
          <w:sz w:val="22"/>
          <w:szCs w:val="22"/>
        </w:rPr>
        <w:t xml:space="preserve"> and freight operators in any event in the light of</w:t>
      </w:r>
      <w:r w:rsidR="00741D04" w:rsidRPr="00741D04">
        <w:rPr>
          <w:rFonts w:ascii="Arial" w:hAnsi="Arial" w:cs="Arial"/>
          <w:sz w:val="22"/>
          <w:szCs w:val="22"/>
        </w:rPr>
        <w:t xml:space="preserve"> </w:t>
      </w:r>
      <w:r w:rsidRPr="00741D04">
        <w:rPr>
          <w:rFonts w:ascii="Arial" w:hAnsi="Arial" w:cs="Arial"/>
          <w:sz w:val="22"/>
          <w:szCs w:val="22"/>
        </w:rPr>
        <w:t>automation provided by planned signalling renewals. N</w:t>
      </w:r>
      <w:r w:rsidR="00741D04" w:rsidRPr="00741D04">
        <w:rPr>
          <w:rFonts w:ascii="Arial" w:hAnsi="Arial" w:cs="Arial"/>
          <w:sz w:val="22"/>
          <w:szCs w:val="22"/>
        </w:rPr>
        <w:t>etwork Rail</w:t>
      </w:r>
      <w:r w:rsidRPr="00741D04">
        <w:rPr>
          <w:rFonts w:ascii="Arial" w:hAnsi="Arial" w:cs="Arial"/>
          <w:sz w:val="22"/>
          <w:szCs w:val="22"/>
        </w:rPr>
        <w:t xml:space="preserve"> has confirmed that the current</w:t>
      </w:r>
      <w:r w:rsidR="00741D04" w:rsidRPr="00741D04">
        <w:rPr>
          <w:rFonts w:ascii="Arial" w:hAnsi="Arial" w:cs="Arial"/>
          <w:sz w:val="22"/>
          <w:szCs w:val="22"/>
        </w:rPr>
        <w:t xml:space="preserve"> </w:t>
      </w:r>
      <w:r w:rsidRPr="00741D04">
        <w:rPr>
          <w:rFonts w:ascii="Arial" w:hAnsi="Arial" w:cs="Arial"/>
          <w:sz w:val="22"/>
          <w:szCs w:val="22"/>
        </w:rPr>
        <w:t>level of freight services will still be able to operate with a Crewe Hub, although there</w:t>
      </w:r>
      <w:r w:rsidR="00741D04" w:rsidRPr="00741D04">
        <w:rPr>
          <w:rFonts w:ascii="Arial" w:hAnsi="Arial" w:cs="Arial"/>
          <w:sz w:val="22"/>
          <w:szCs w:val="22"/>
        </w:rPr>
        <w:t xml:space="preserve"> </w:t>
      </w:r>
      <w:r w:rsidRPr="00741D04">
        <w:rPr>
          <w:rFonts w:ascii="Arial" w:hAnsi="Arial" w:cs="Arial"/>
          <w:sz w:val="22"/>
          <w:szCs w:val="22"/>
        </w:rPr>
        <w:t>could be issues in realising further freight growth north of Basford Hall after Phase 2a</w:t>
      </w:r>
      <w:r w:rsidR="00741D04" w:rsidRPr="00741D04">
        <w:rPr>
          <w:rFonts w:ascii="Arial" w:hAnsi="Arial" w:cs="Arial"/>
          <w:sz w:val="22"/>
          <w:szCs w:val="22"/>
        </w:rPr>
        <w:t xml:space="preserve"> </w:t>
      </w:r>
      <w:r w:rsidRPr="00741D04">
        <w:rPr>
          <w:rFonts w:ascii="Arial" w:hAnsi="Arial" w:cs="Arial"/>
          <w:sz w:val="22"/>
          <w:szCs w:val="22"/>
        </w:rPr>
        <w:t xml:space="preserve">opens and before Phase 2b becomes operational in 2033. </w:t>
      </w:r>
    </w:p>
    <w:p w14:paraId="6C4F3661" w14:textId="0A06FA63" w:rsidR="00EA38E3" w:rsidRPr="00131909" w:rsidRDefault="002261EA" w:rsidP="00131909">
      <w:pPr>
        <w:pStyle w:val="NoSpacing"/>
        <w:numPr>
          <w:ilvl w:val="0"/>
          <w:numId w:val="33"/>
        </w:numPr>
        <w:spacing w:before="240" w:after="240"/>
        <w:ind w:left="709" w:hanging="709"/>
        <w:jc w:val="both"/>
        <w:rPr>
          <w:rFonts w:ascii="Arial" w:hAnsi="Arial" w:cs="Arial"/>
          <w:b/>
          <w:sz w:val="22"/>
          <w:szCs w:val="22"/>
        </w:rPr>
      </w:pPr>
      <w:r>
        <w:rPr>
          <w:rFonts w:ascii="Arial" w:hAnsi="Arial" w:cs="Arial"/>
          <w:b/>
          <w:sz w:val="22"/>
          <w:szCs w:val="22"/>
        </w:rPr>
        <w:t>HS2 Services Patterns</w:t>
      </w:r>
    </w:p>
    <w:p w14:paraId="107F3352" w14:textId="56347F89" w:rsidR="00741D04" w:rsidRPr="00741D04" w:rsidRDefault="00741D04" w:rsidP="00741D04">
      <w:pPr>
        <w:pStyle w:val="NoSpacing"/>
        <w:numPr>
          <w:ilvl w:val="1"/>
          <w:numId w:val="33"/>
        </w:numPr>
        <w:spacing w:after="120"/>
        <w:ind w:left="709" w:hanging="709"/>
        <w:jc w:val="both"/>
        <w:rPr>
          <w:rFonts w:ascii="Arial" w:hAnsi="Arial" w:cs="Arial"/>
          <w:sz w:val="22"/>
          <w:szCs w:val="22"/>
        </w:rPr>
      </w:pPr>
      <w:r w:rsidRPr="00741D04">
        <w:rPr>
          <w:rFonts w:ascii="Arial" w:hAnsi="Arial" w:cs="Arial"/>
          <w:sz w:val="22"/>
          <w:szCs w:val="22"/>
        </w:rPr>
        <w:t xml:space="preserve">Providing 400m platforms at Crewe Station will allow HS2 trains to be split and joined, providing options for more connectivity. The Government has modelled running a combined London – Preston and London – Liverpool service that splits at Crewe, and so frees up an HS2 path from London which would allow a new HS2 service to Stafford, Stoke-on-Trent and Macclesfield via </w:t>
      </w:r>
      <w:proofErr w:type="spellStart"/>
      <w:r w:rsidRPr="00741D04">
        <w:rPr>
          <w:rFonts w:ascii="Arial" w:hAnsi="Arial" w:cs="Arial"/>
          <w:sz w:val="22"/>
          <w:szCs w:val="22"/>
        </w:rPr>
        <w:t>Handsacre</w:t>
      </w:r>
      <w:proofErr w:type="spellEnd"/>
      <w:r w:rsidRPr="00741D04">
        <w:rPr>
          <w:rFonts w:ascii="Arial" w:hAnsi="Arial" w:cs="Arial"/>
          <w:sz w:val="22"/>
          <w:szCs w:val="22"/>
        </w:rPr>
        <w:t xml:space="preserve"> junction. Further opportunities to serve additional destinations could come from splitting and joining a second Liverpool service.</w:t>
      </w:r>
    </w:p>
    <w:p w14:paraId="123A9283" w14:textId="77777777" w:rsidR="00741D04" w:rsidRDefault="00741D04" w:rsidP="00741D04">
      <w:pPr>
        <w:pStyle w:val="NoSpacing"/>
        <w:numPr>
          <w:ilvl w:val="1"/>
          <w:numId w:val="33"/>
        </w:numPr>
        <w:spacing w:after="120"/>
        <w:ind w:left="709" w:hanging="709"/>
        <w:jc w:val="both"/>
        <w:rPr>
          <w:rFonts w:ascii="Arial" w:hAnsi="Arial" w:cs="Arial"/>
          <w:sz w:val="22"/>
          <w:szCs w:val="22"/>
        </w:rPr>
      </w:pPr>
      <w:r w:rsidRPr="00741D04">
        <w:rPr>
          <w:rFonts w:ascii="Arial" w:hAnsi="Arial" w:cs="Arial"/>
          <w:sz w:val="22"/>
          <w:szCs w:val="22"/>
        </w:rPr>
        <w:t xml:space="preserve">There was strong support in the consultation for the splitting and joining of HS2 services at Crewe station and 400m platforms. Some responses asked if a second HS2 Stoke-on-Trent service was possible each hour. There is not anticipated to be capacity on HS2 for this (and the business case is unlikely to be strong). Stoke-on-Trent is, though, expected to continue to receive intercity services via the WCML in addition to any HS2 service. Questions were also raised about the impact Crewe Hub could have on Liverpool to London journey times, and the possibility of splitting and joining a Manchester service. The Government does not currently envisage introducing the second split and join operation until HS2 Phase 2b opens, so for Phase 2a these changes would not affect the headline Liverpool – London journey </w:t>
      </w:r>
      <w:r w:rsidRPr="00741D04">
        <w:rPr>
          <w:rFonts w:ascii="Arial" w:hAnsi="Arial" w:cs="Arial"/>
          <w:sz w:val="22"/>
          <w:szCs w:val="22"/>
        </w:rPr>
        <w:lastRenderedPageBreak/>
        <w:t xml:space="preserve">time (and the second London – Liverpool service will be faster than originally planned). </w:t>
      </w:r>
    </w:p>
    <w:p w14:paraId="7187CB2A" w14:textId="7CDC19A8" w:rsidR="00F61918" w:rsidRPr="00741D04" w:rsidRDefault="00741D04" w:rsidP="00741D04">
      <w:pPr>
        <w:pStyle w:val="NoSpacing"/>
        <w:numPr>
          <w:ilvl w:val="1"/>
          <w:numId w:val="33"/>
        </w:numPr>
        <w:spacing w:after="120"/>
        <w:ind w:left="709" w:hanging="709"/>
        <w:jc w:val="both"/>
        <w:rPr>
          <w:rFonts w:ascii="Arial" w:hAnsi="Arial" w:cs="Arial"/>
          <w:sz w:val="22"/>
          <w:szCs w:val="22"/>
        </w:rPr>
      </w:pPr>
      <w:r w:rsidRPr="00741D04">
        <w:rPr>
          <w:rFonts w:ascii="Arial" w:hAnsi="Arial" w:cs="Arial"/>
          <w:sz w:val="22"/>
          <w:szCs w:val="22"/>
        </w:rPr>
        <w:t xml:space="preserve">Operational constraints during the operation of Phase 2a mean </w:t>
      </w:r>
      <w:r>
        <w:rPr>
          <w:rFonts w:ascii="Arial" w:hAnsi="Arial" w:cs="Arial"/>
          <w:sz w:val="22"/>
          <w:szCs w:val="22"/>
        </w:rPr>
        <w:t xml:space="preserve">the Government considers that </w:t>
      </w:r>
      <w:r w:rsidRPr="00741D04">
        <w:rPr>
          <w:rFonts w:ascii="Arial" w:hAnsi="Arial" w:cs="Arial"/>
          <w:sz w:val="22"/>
          <w:szCs w:val="22"/>
        </w:rPr>
        <w:t>it would not be desirable to split and join one of the Manchester services. The Government will continue to consider additional locations that could be served with a second split and join in developing the HS2 Phase 2b business case, and in the light of future advice from the West Coast Partnership (WCP).</w:t>
      </w:r>
      <w:r w:rsidR="00BA2782" w:rsidRPr="00741D04">
        <w:rPr>
          <w:rFonts w:ascii="Arial" w:hAnsi="Arial" w:cs="Arial"/>
          <w:sz w:val="22"/>
          <w:szCs w:val="22"/>
        </w:rPr>
        <w:t xml:space="preserve"> </w:t>
      </w:r>
    </w:p>
    <w:p w14:paraId="14F9E150" w14:textId="5C120D6A" w:rsidR="002261EA" w:rsidRPr="002261EA" w:rsidRDefault="002261EA" w:rsidP="002261EA">
      <w:pPr>
        <w:pStyle w:val="NoSpacing"/>
        <w:numPr>
          <w:ilvl w:val="0"/>
          <w:numId w:val="33"/>
        </w:numPr>
        <w:spacing w:before="240" w:after="240"/>
        <w:ind w:left="709" w:hanging="709"/>
        <w:jc w:val="both"/>
        <w:rPr>
          <w:rFonts w:ascii="Arial" w:hAnsi="Arial" w:cs="Arial"/>
          <w:b/>
          <w:sz w:val="22"/>
          <w:szCs w:val="22"/>
        </w:rPr>
      </w:pPr>
      <w:r w:rsidRPr="002261EA">
        <w:rPr>
          <w:rFonts w:ascii="Arial" w:hAnsi="Arial" w:cs="Arial"/>
          <w:b/>
          <w:sz w:val="22"/>
          <w:szCs w:val="22"/>
        </w:rPr>
        <w:t>West Coast Partnership Franchise</w:t>
      </w:r>
    </w:p>
    <w:p w14:paraId="7DD8A28D" w14:textId="2D62CE79" w:rsidR="00741D04" w:rsidRPr="00741D04" w:rsidRDefault="00741D04" w:rsidP="00741D04">
      <w:pPr>
        <w:pStyle w:val="NoSpacing"/>
        <w:numPr>
          <w:ilvl w:val="1"/>
          <w:numId w:val="33"/>
        </w:numPr>
        <w:spacing w:after="120"/>
        <w:ind w:left="709" w:hanging="709"/>
        <w:jc w:val="both"/>
        <w:rPr>
          <w:rFonts w:ascii="Arial" w:hAnsi="Arial" w:cs="Arial"/>
          <w:sz w:val="22"/>
          <w:szCs w:val="22"/>
        </w:rPr>
      </w:pPr>
      <w:r w:rsidRPr="00741D04">
        <w:rPr>
          <w:rFonts w:ascii="Arial" w:hAnsi="Arial" w:cs="Arial"/>
          <w:sz w:val="22"/>
          <w:szCs w:val="22"/>
        </w:rPr>
        <w:t>From its appointment in 2019, the new</w:t>
      </w:r>
      <w:r>
        <w:rPr>
          <w:rFonts w:ascii="Arial" w:hAnsi="Arial" w:cs="Arial"/>
          <w:sz w:val="22"/>
          <w:szCs w:val="22"/>
        </w:rPr>
        <w:t xml:space="preserve"> </w:t>
      </w:r>
      <w:r w:rsidRPr="00741D04">
        <w:rPr>
          <w:rFonts w:ascii="Arial" w:hAnsi="Arial" w:cs="Arial"/>
          <w:sz w:val="22"/>
          <w:szCs w:val="22"/>
        </w:rPr>
        <w:t>W</w:t>
      </w:r>
      <w:r>
        <w:rPr>
          <w:rFonts w:ascii="Arial" w:hAnsi="Arial" w:cs="Arial"/>
          <w:sz w:val="22"/>
          <w:szCs w:val="22"/>
        </w:rPr>
        <w:t xml:space="preserve">est </w:t>
      </w:r>
      <w:r w:rsidRPr="00741D04">
        <w:rPr>
          <w:rFonts w:ascii="Arial" w:hAnsi="Arial" w:cs="Arial"/>
          <w:sz w:val="22"/>
          <w:szCs w:val="22"/>
        </w:rPr>
        <w:t>C</w:t>
      </w:r>
      <w:r>
        <w:rPr>
          <w:rFonts w:ascii="Arial" w:hAnsi="Arial" w:cs="Arial"/>
          <w:sz w:val="22"/>
          <w:szCs w:val="22"/>
        </w:rPr>
        <w:t xml:space="preserve">oast </w:t>
      </w:r>
      <w:r w:rsidRPr="00741D04">
        <w:rPr>
          <w:rFonts w:ascii="Arial" w:hAnsi="Arial" w:cs="Arial"/>
          <w:sz w:val="22"/>
          <w:szCs w:val="22"/>
        </w:rPr>
        <w:t>P</w:t>
      </w:r>
      <w:r>
        <w:rPr>
          <w:rFonts w:ascii="Arial" w:hAnsi="Arial" w:cs="Arial"/>
          <w:sz w:val="22"/>
          <w:szCs w:val="22"/>
        </w:rPr>
        <w:t>artnership</w:t>
      </w:r>
      <w:r w:rsidRPr="00741D04">
        <w:rPr>
          <w:rFonts w:ascii="Arial" w:hAnsi="Arial" w:cs="Arial"/>
          <w:sz w:val="22"/>
          <w:szCs w:val="22"/>
        </w:rPr>
        <w:t xml:space="preserve"> operator will work with HS2 Ltd to design, launch and operate the initial HS2 services, as well as redesign services on the West Coast Main Line to take advantage of the extra capacity provided by HS2. The WCP operator will be required to ensure that passenger needs are placed at the heart of the design of the new railway and services, working closely with industry partners, devolved administrations, local government, passengers and staff along the route.</w:t>
      </w:r>
    </w:p>
    <w:p w14:paraId="1FD766CC" w14:textId="7A027FE6" w:rsidR="006F15C3" w:rsidRPr="006F15C3" w:rsidRDefault="00741D04" w:rsidP="006F15C3">
      <w:pPr>
        <w:pStyle w:val="NoSpacing"/>
        <w:numPr>
          <w:ilvl w:val="1"/>
          <w:numId w:val="33"/>
        </w:numPr>
        <w:spacing w:after="120"/>
        <w:ind w:left="709" w:hanging="709"/>
        <w:jc w:val="both"/>
        <w:rPr>
          <w:rFonts w:ascii="Arial" w:hAnsi="Arial" w:cs="Arial"/>
          <w:sz w:val="22"/>
          <w:szCs w:val="22"/>
        </w:rPr>
      </w:pPr>
      <w:r w:rsidRPr="00741D04">
        <w:rPr>
          <w:rFonts w:ascii="Arial" w:hAnsi="Arial" w:cs="Arial"/>
          <w:sz w:val="22"/>
          <w:szCs w:val="22"/>
        </w:rPr>
        <w:t xml:space="preserve">The </w:t>
      </w:r>
      <w:r>
        <w:rPr>
          <w:rFonts w:ascii="Arial" w:hAnsi="Arial" w:cs="Arial"/>
          <w:sz w:val="22"/>
          <w:szCs w:val="22"/>
        </w:rPr>
        <w:t xml:space="preserve">Government has confirmed that the </w:t>
      </w:r>
      <w:r w:rsidRPr="00741D04">
        <w:rPr>
          <w:rFonts w:ascii="Arial" w:hAnsi="Arial" w:cs="Arial"/>
          <w:sz w:val="22"/>
          <w:szCs w:val="22"/>
        </w:rPr>
        <w:t>West Coast Partnership will also be closely involved in the detailed design of the future Crewe Hub station to ensure it meets passenger needs, alongside its design of future HS2 and West Coast Main Line services to meet the needs and aspirations of all users. The West Coast Partnership operator will consult extensively on proposed service patterns, enabling Government to make decisions on the final HS2 and West Coast Main Line services in the early 2020s.</w:t>
      </w:r>
    </w:p>
    <w:sectPr w:rsidR="006F15C3" w:rsidRPr="006F15C3" w:rsidSect="005A6705">
      <w:footerReference w:type="default" r:id="rId13"/>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F96F" w14:textId="77777777" w:rsidR="00885F5D" w:rsidRDefault="00885F5D">
      <w:r>
        <w:separator/>
      </w:r>
    </w:p>
  </w:endnote>
  <w:endnote w:type="continuationSeparator" w:id="0">
    <w:p w14:paraId="113DD87D" w14:textId="77777777" w:rsidR="00885F5D" w:rsidRDefault="0088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2312"/>
      <w:docPartObj>
        <w:docPartGallery w:val="Page Numbers (Bottom of Page)"/>
        <w:docPartUnique/>
      </w:docPartObj>
    </w:sdtPr>
    <w:sdtEndPr>
      <w:rPr>
        <w:noProof/>
      </w:rPr>
    </w:sdtEndPr>
    <w:sdtContent>
      <w:p w14:paraId="3DBD1834" w14:textId="7DE2A718" w:rsidR="00580F8D" w:rsidRDefault="00580F8D">
        <w:pPr>
          <w:pStyle w:val="Footer"/>
          <w:jc w:val="center"/>
        </w:pPr>
        <w:r>
          <w:fldChar w:fldCharType="begin"/>
        </w:r>
        <w:r>
          <w:instrText xml:space="preserve"> PAGE   \* MERGEFORMAT </w:instrText>
        </w:r>
        <w:r>
          <w:fldChar w:fldCharType="separate"/>
        </w:r>
        <w:r w:rsidR="00B411C8">
          <w:rPr>
            <w:noProof/>
          </w:rPr>
          <w:t>4</w:t>
        </w:r>
        <w:r>
          <w:rPr>
            <w:noProof/>
          </w:rPr>
          <w:fldChar w:fldCharType="end"/>
        </w:r>
      </w:p>
    </w:sdtContent>
  </w:sdt>
  <w:p w14:paraId="498565E9" w14:textId="77777777" w:rsidR="00580F8D" w:rsidRDefault="0058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487BB" w14:textId="77777777" w:rsidR="00885F5D" w:rsidRDefault="00885F5D">
      <w:r>
        <w:separator/>
      </w:r>
    </w:p>
  </w:footnote>
  <w:footnote w:type="continuationSeparator" w:id="0">
    <w:p w14:paraId="122FDBE9" w14:textId="77777777" w:rsidR="00885F5D" w:rsidRDefault="0088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DE6299C"/>
    <w:lvl w:ilvl="0">
      <w:start w:val="1"/>
      <w:numFmt w:val="decimal"/>
      <w:pStyle w:val="ListNumber3"/>
      <w:lvlText w:val="%1."/>
      <w:lvlJc w:val="left"/>
      <w:pPr>
        <w:tabs>
          <w:tab w:val="num" w:pos="926"/>
        </w:tabs>
        <w:ind w:left="926" w:hanging="360"/>
      </w:pPr>
    </w:lvl>
  </w:abstractNum>
  <w:abstractNum w:abstractNumId="1">
    <w:nsid w:val="FFFFFF7F"/>
    <w:multiLevelType w:val="singleLevel"/>
    <w:tmpl w:val="F912F4C8"/>
    <w:lvl w:ilvl="0">
      <w:start w:val="1"/>
      <w:numFmt w:val="decimal"/>
      <w:pStyle w:val="ListNumber2"/>
      <w:lvlText w:val="%1."/>
      <w:lvlJc w:val="left"/>
      <w:pPr>
        <w:tabs>
          <w:tab w:val="num" w:pos="643"/>
        </w:tabs>
        <w:ind w:left="643" w:hanging="360"/>
      </w:pPr>
    </w:lvl>
  </w:abstractNum>
  <w:abstractNum w:abstractNumId="2">
    <w:nsid w:val="FFFFFF88"/>
    <w:multiLevelType w:val="singleLevel"/>
    <w:tmpl w:val="AFE6BBEA"/>
    <w:lvl w:ilvl="0">
      <w:start w:val="1"/>
      <w:numFmt w:val="decimal"/>
      <w:pStyle w:val="ListNumber"/>
      <w:lvlText w:val="%1."/>
      <w:lvlJc w:val="left"/>
      <w:pPr>
        <w:tabs>
          <w:tab w:val="num" w:pos="360"/>
        </w:tabs>
        <w:ind w:left="360" w:hanging="360"/>
      </w:pPr>
    </w:lvl>
  </w:abstractNum>
  <w:abstractNum w:abstractNumId="3">
    <w:nsid w:val="00736BF0"/>
    <w:multiLevelType w:val="hybridMultilevel"/>
    <w:tmpl w:val="15C0C288"/>
    <w:lvl w:ilvl="0" w:tplc="83E2E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882DCE"/>
    <w:multiLevelType w:val="hybridMultilevel"/>
    <w:tmpl w:val="E90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92DED"/>
    <w:multiLevelType w:val="hybridMultilevel"/>
    <w:tmpl w:val="4EB02F9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nsid w:val="08C2225E"/>
    <w:multiLevelType w:val="hybridMultilevel"/>
    <w:tmpl w:val="39FCCC5C"/>
    <w:lvl w:ilvl="0" w:tplc="C96E07B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0DBA4C47"/>
    <w:multiLevelType w:val="hybridMultilevel"/>
    <w:tmpl w:val="1BD8A3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107A51FE"/>
    <w:multiLevelType w:val="hybridMultilevel"/>
    <w:tmpl w:val="837A48F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nsid w:val="1167528D"/>
    <w:multiLevelType w:val="hybridMultilevel"/>
    <w:tmpl w:val="4A4E2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0A025B"/>
    <w:multiLevelType w:val="hybridMultilevel"/>
    <w:tmpl w:val="38128C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CEA6B7D"/>
    <w:multiLevelType w:val="hybridMultilevel"/>
    <w:tmpl w:val="CC4C1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5712F"/>
    <w:multiLevelType w:val="hybridMultilevel"/>
    <w:tmpl w:val="EDA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7B6514"/>
    <w:multiLevelType w:val="hybridMultilevel"/>
    <w:tmpl w:val="DB2A99EE"/>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4">
    <w:nsid w:val="20714B63"/>
    <w:multiLevelType w:val="hybridMultilevel"/>
    <w:tmpl w:val="94C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AD74FB"/>
    <w:multiLevelType w:val="multilevel"/>
    <w:tmpl w:val="10EED0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D20E5B"/>
    <w:multiLevelType w:val="hybridMultilevel"/>
    <w:tmpl w:val="CE7877C2"/>
    <w:lvl w:ilvl="0" w:tplc="1CCAE07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nsid w:val="29F97818"/>
    <w:multiLevelType w:val="hybridMultilevel"/>
    <w:tmpl w:val="E32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771904"/>
    <w:multiLevelType w:val="hybridMultilevel"/>
    <w:tmpl w:val="A97EB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35746342"/>
    <w:multiLevelType w:val="hybridMultilevel"/>
    <w:tmpl w:val="56AC86E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nsid w:val="35E70D49"/>
    <w:multiLevelType w:val="hybridMultilevel"/>
    <w:tmpl w:val="C68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9F6C43"/>
    <w:multiLevelType w:val="hybridMultilevel"/>
    <w:tmpl w:val="4AB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041DF9"/>
    <w:multiLevelType w:val="hybridMultilevel"/>
    <w:tmpl w:val="1340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B771C5"/>
    <w:multiLevelType w:val="hybridMultilevel"/>
    <w:tmpl w:val="E3A49D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3DEB15EA"/>
    <w:multiLevelType w:val="hybridMultilevel"/>
    <w:tmpl w:val="B320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A27763"/>
    <w:multiLevelType w:val="hybridMultilevel"/>
    <w:tmpl w:val="BCBA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3169D4"/>
    <w:multiLevelType w:val="hybridMultilevel"/>
    <w:tmpl w:val="8F066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3E6AAD"/>
    <w:multiLevelType w:val="hybridMultilevel"/>
    <w:tmpl w:val="5B0C62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4A17147F"/>
    <w:multiLevelType w:val="hybridMultilevel"/>
    <w:tmpl w:val="107E1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640142A"/>
    <w:multiLevelType w:val="hybridMultilevel"/>
    <w:tmpl w:val="7DA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8B6B5E"/>
    <w:multiLevelType w:val="hybridMultilevel"/>
    <w:tmpl w:val="AD30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2D5495"/>
    <w:multiLevelType w:val="hybridMultilevel"/>
    <w:tmpl w:val="2166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4A6E0E"/>
    <w:multiLevelType w:val="hybridMultilevel"/>
    <w:tmpl w:val="B24A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B314E"/>
    <w:multiLevelType w:val="hybridMultilevel"/>
    <w:tmpl w:val="79D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895D7C"/>
    <w:multiLevelType w:val="multilevel"/>
    <w:tmpl w:val="65DC14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3A138D"/>
    <w:multiLevelType w:val="hybridMultilevel"/>
    <w:tmpl w:val="6DF2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CF5B16"/>
    <w:multiLevelType w:val="hybridMultilevel"/>
    <w:tmpl w:val="6A00ECEE"/>
    <w:lvl w:ilvl="0" w:tplc="04B26276">
      <w:start w:val="1"/>
      <w:numFmt w:val="lowerRoman"/>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63F02989"/>
    <w:multiLevelType w:val="hybridMultilevel"/>
    <w:tmpl w:val="6182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8363E1"/>
    <w:multiLevelType w:val="hybridMultilevel"/>
    <w:tmpl w:val="E51E3A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F3F12D0"/>
    <w:multiLevelType w:val="hybridMultilevel"/>
    <w:tmpl w:val="F37A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4735C4"/>
    <w:multiLevelType w:val="multilevel"/>
    <w:tmpl w:val="03EA693C"/>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92B4575"/>
    <w:multiLevelType w:val="hybridMultilevel"/>
    <w:tmpl w:val="9404C95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2">
    <w:nsid w:val="7B2222B6"/>
    <w:multiLevelType w:val="multilevel"/>
    <w:tmpl w:val="BBA2C1B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5"/>
  </w:num>
  <w:num w:numId="3">
    <w:abstractNumId w:val="31"/>
  </w:num>
  <w:num w:numId="4">
    <w:abstractNumId w:val="33"/>
  </w:num>
  <w:num w:numId="5">
    <w:abstractNumId w:val="17"/>
  </w:num>
  <w:num w:numId="6">
    <w:abstractNumId w:val="19"/>
  </w:num>
  <w:num w:numId="7">
    <w:abstractNumId w:val="22"/>
  </w:num>
  <w:num w:numId="8">
    <w:abstractNumId w:val="20"/>
  </w:num>
  <w:num w:numId="9">
    <w:abstractNumId w:val="39"/>
  </w:num>
  <w:num w:numId="10">
    <w:abstractNumId w:val="12"/>
  </w:num>
  <w:num w:numId="11">
    <w:abstractNumId w:val="11"/>
  </w:num>
  <w:num w:numId="12">
    <w:abstractNumId w:val="24"/>
  </w:num>
  <w:num w:numId="13">
    <w:abstractNumId w:val="4"/>
  </w:num>
  <w:num w:numId="14">
    <w:abstractNumId w:val="41"/>
  </w:num>
  <w:num w:numId="15">
    <w:abstractNumId w:val="18"/>
  </w:num>
  <w:num w:numId="16">
    <w:abstractNumId w:val="8"/>
  </w:num>
  <w:num w:numId="17">
    <w:abstractNumId w:val="34"/>
  </w:num>
  <w:num w:numId="18">
    <w:abstractNumId w:val="5"/>
  </w:num>
  <w:num w:numId="19">
    <w:abstractNumId w:val="14"/>
  </w:num>
  <w:num w:numId="20">
    <w:abstractNumId w:val="32"/>
  </w:num>
  <w:num w:numId="21">
    <w:abstractNumId w:val="30"/>
  </w:num>
  <w:num w:numId="22">
    <w:abstractNumId w:val="16"/>
  </w:num>
  <w:num w:numId="23">
    <w:abstractNumId w:val="6"/>
  </w:num>
  <w:num w:numId="24">
    <w:abstractNumId w:val="29"/>
  </w:num>
  <w:num w:numId="25">
    <w:abstractNumId w:val="25"/>
  </w:num>
  <w:num w:numId="26">
    <w:abstractNumId w:val="9"/>
  </w:num>
  <w:num w:numId="27">
    <w:abstractNumId w:val="26"/>
  </w:num>
  <w:num w:numId="28">
    <w:abstractNumId w:val="38"/>
  </w:num>
  <w:num w:numId="29">
    <w:abstractNumId w:val="13"/>
  </w:num>
  <w:num w:numId="30">
    <w:abstractNumId w:val="23"/>
  </w:num>
  <w:num w:numId="31">
    <w:abstractNumId w:val="21"/>
  </w:num>
  <w:num w:numId="32">
    <w:abstractNumId w:val="10"/>
  </w:num>
  <w:num w:numId="33">
    <w:abstractNumId w:val="15"/>
  </w:num>
  <w:num w:numId="34">
    <w:abstractNumId w:val="36"/>
  </w:num>
  <w:num w:numId="35">
    <w:abstractNumId w:val="3"/>
  </w:num>
  <w:num w:numId="36">
    <w:abstractNumId w:val="28"/>
  </w:num>
  <w:num w:numId="37">
    <w:abstractNumId w:val="27"/>
  </w:num>
  <w:num w:numId="38">
    <w:abstractNumId w:val="7"/>
  </w:num>
  <w:num w:numId="39">
    <w:abstractNumId w:val="2"/>
  </w:num>
  <w:num w:numId="40">
    <w:abstractNumId w:val="1"/>
  </w:num>
  <w:num w:numId="41">
    <w:abstractNumId w:val="0"/>
  </w:num>
  <w:num w:numId="42">
    <w:abstractNumId w:val="42"/>
  </w:num>
  <w:num w:numId="4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6"/>
    <w:rsid w:val="000054ED"/>
    <w:rsid w:val="00005E35"/>
    <w:rsid w:val="00006641"/>
    <w:rsid w:val="00014F00"/>
    <w:rsid w:val="000314A2"/>
    <w:rsid w:val="00031A84"/>
    <w:rsid w:val="00031D61"/>
    <w:rsid w:val="00032EE5"/>
    <w:rsid w:val="000338E5"/>
    <w:rsid w:val="00035D08"/>
    <w:rsid w:val="00036173"/>
    <w:rsid w:val="0003733C"/>
    <w:rsid w:val="0004392D"/>
    <w:rsid w:val="00054B16"/>
    <w:rsid w:val="000571F5"/>
    <w:rsid w:val="00066677"/>
    <w:rsid w:val="000708B6"/>
    <w:rsid w:val="00084960"/>
    <w:rsid w:val="000934E0"/>
    <w:rsid w:val="0009595D"/>
    <w:rsid w:val="000A0943"/>
    <w:rsid w:val="000A221C"/>
    <w:rsid w:val="000A27A1"/>
    <w:rsid w:val="000A2CEF"/>
    <w:rsid w:val="000C6D8C"/>
    <w:rsid w:val="000D1942"/>
    <w:rsid w:val="000D54D3"/>
    <w:rsid w:val="000D699B"/>
    <w:rsid w:val="000D6A5C"/>
    <w:rsid w:val="000E05FF"/>
    <w:rsid w:val="000F34FD"/>
    <w:rsid w:val="000F426A"/>
    <w:rsid w:val="000F722F"/>
    <w:rsid w:val="00102C73"/>
    <w:rsid w:val="0010388B"/>
    <w:rsid w:val="00104E51"/>
    <w:rsid w:val="00112A66"/>
    <w:rsid w:val="00114D46"/>
    <w:rsid w:val="0012618D"/>
    <w:rsid w:val="001273C4"/>
    <w:rsid w:val="00131909"/>
    <w:rsid w:val="00136997"/>
    <w:rsid w:val="0014041C"/>
    <w:rsid w:val="0014462C"/>
    <w:rsid w:val="001479C2"/>
    <w:rsid w:val="00154685"/>
    <w:rsid w:val="00155895"/>
    <w:rsid w:val="00156302"/>
    <w:rsid w:val="00162DB2"/>
    <w:rsid w:val="00167ED3"/>
    <w:rsid w:val="00186EDF"/>
    <w:rsid w:val="00195A65"/>
    <w:rsid w:val="001A15F6"/>
    <w:rsid w:val="001A2E3E"/>
    <w:rsid w:val="001C0E9C"/>
    <w:rsid w:val="001C21D2"/>
    <w:rsid w:val="001C4E5C"/>
    <w:rsid w:val="001D21F8"/>
    <w:rsid w:val="001D4E9E"/>
    <w:rsid w:val="001D7FAD"/>
    <w:rsid w:val="001E4AC0"/>
    <w:rsid w:val="00206C84"/>
    <w:rsid w:val="00206F69"/>
    <w:rsid w:val="002261EA"/>
    <w:rsid w:val="0022629F"/>
    <w:rsid w:val="00226863"/>
    <w:rsid w:val="00237818"/>
    <w:rsid w:val="002520F2"/>
    <w:rsid w:val="00252FB2"/>
    <w:rsid w:val="002534C4"/>
    <w:rsid w:val="00256750"/>
    <w:rsid w:val="002608A9"/>
    <w:rsid w:val="00265DF6"/>
    <w:rsid w:val="00272180"/>
    <w:rsid w:val="00276121"/>
    <w:rsid w:val="00287C97"/>
    <w:rsid w:val="002A1CA4"/>
    <w:rsid w:val="002A2187"/>
    <w:rsid w:val="002B67BE"/>
    <w:rsid w:val="002B75DE"/>
    <w:rsid w:val="002D2141"/>
    <w:rsid w:val="002D4FAC"/>
    <w:rsid w:val="002F1FDF"/>
    <w:rsid w:val="002F7A4B"/>
    <w:rsid w:val="00312702"/>
    <w:rsid w:val="00323821"/>
    <w:rsid w:val="00323BB0"/>
    <w:rsid w:val="003331EF"/>
    <w:rsid w:val="003412C2"/>
    <w:rsid w:val="0034515A"/>
    <w:rsid w:val="003524CA"/>
    <w:rsid w:val="00353550"/>
    <w:rsid w:val="003558F1"/>
    <w:rsid w:val="003567E6"/>
    <w:rsid w:val="003573D4"/>
    <w:rsid w:val="00361EAF"/>
    <w:rsid w:val="0036215D"/>
    <w:rsid w:val="003678D4"/>
    <w:rsid w:val="0037068A"/>
    <w:rsid w:val="00374751"/>
    <w:rsid w:val="00375010"/>
    <w:rsid w:val="0038699C"/>
    <w:rsid w:val="00386B70"/>
    <w:rsid w:val="003946F8"/>
    <w:rsid w:val="003961BA"/>
    <w:rsid w:val="003B1462"/>
    <w:rsid w:val="003B3857"/>
    <w:rsid w:val="003C1EE2"/>
    <w:rsid w:val="003C7973"/>
    <w:rsid w:val="003E1596"/>
    <w:rsid w:val="003E6190"/>
    <w:rsid w:val="003E66FF"/>
    <w:rsid w:val="003F3FC1"/>
    <w:rsid w:val="003F5E8C"/>
    <w:rsid w:val="004032F3"/>
    <w:rsid w:val="00406832"/>
    <w:rsid w:val="00411DC3"/>
    <w:rsid w:val="00414146"/>
    <w:rsid w:val="00415CCE"/>
    <w:rsid w:val="0043641D"/>
    <w:rsid w:val="004376A2"/>
    <w:rsid w:val="004429F0"/>
    <w:rsid w:val="00443699"/>
    <w:rsid w:val="00447CC9"/>
    <w:rsid w:val="004506D0"/>
    <w:rsid w:val="00462C1B"/>
    <w:rsid w:val="0046348B"/>
    <w:rsid w:val="00463643"/>
    <w:rsid w:val="00464399"/>
    <w:rsid w:val="00465A22"/>
    <w:rsid w:val="0048446E"/>
    <w:rsid w:val="00492689"/>
    <w:rsid w:val="00493786"/>
    <w:rsid w:val="0049394C"/>
    <w:rsid w:val="004B2176"/>
    <w:rsid w:val="004B4D7F"/>
    <w:rsid w:val="004B7337"/>
    <w:rsid w:val="004C07C0"/>
    <w:rsid w:val="004C338B"/>
    <w:rsid w:val="004C50A7"/>
    <w:rsid w:val="004D2129"/>
    <w:rsid w:val="004D23DC"/>
    <w:rsid w:val="004D4C05"/>
    <w:rsid w:val="004D5134"/>
    <w:rsid w:val="004E2DF7"/>
    <w:rsid w:val="004E3D99"/>
    <w:rsid w:val="004F0EC7"/>
    <w:rsid w:val="005073B4"/>
    <w:rsid w:val="005079A1"/>
    <w:rsid w:val="00507C6D"/>
    <w:rsid w:val="00514ED7"/>
    <w:rsid w:val="00525195"/>
    <w:rsid w:val="005275BC"/>
    <w:rsid w:val="005307F5"/>
    <w:rsid w:val="00534E04"/>
    <w:rsid w:val="00535F12"/>
    <w:rsid w:val="005367FF"/>
    <w:rsid w:val="00553A1F"/>
    <w:rsid w:val="005553FF"/>
    <w:rsid w:val="005559C9"/>
    <w:rsid w:val="00560FD7"/>
    <w:rsid w:val="0056303F"/>
    <w:rsid w:val="005634D1"/>
    <w:rsid w:val="0056535E"/>
    <w:rsid w:val="005729DE"/>
    <w:rsid w:val="00580F8D"/>
    <w:rsid w:val="00583CDD"/>
    <w:rsid w:val="005852B5"/>
    <w:rsid w:val="00591F49"/>
    <w:rsid w:val="005965EB"/>
    <w:rsid w:val="00596D85"/>
    <w:rsid w:val="005A6705"/>
    <w:rsid w:val="005C1FCC"/>
    <w:rsid w:val="005C7990"/>
    <w:rsid w:val="005D0043"/>
    <w:rsid w:val="005D1FFD"/>
    <w:rsid w:val="005D4806"/>
    <w:rsid w:val="005E1836"/>
    <w:rsid w:val="005E2D58"/>
    <w:rsid w:val="005E76A2"/>
    <w:rsid w:val="005F413E"/>
    <w:rsid w:val="005F5C0F"/>
    <w:rsid w:val="005F5E58"/>
    <w:rsid w:val="00605CCE"/>
    <w:rsid w:val="00606896"/>
    <w:rsid w:val="00606CD6"/>
    <w:rsid w:val="006074CC"/>
    <w:rsid w:val="006139A7"/>
    <w:rsid w:val="00620F26"/>
    <w:rsid w:val="00621875"/>
    <w:rsid w:val="00623782"/>
    <w:rsid w:val="0062751F"/>
    <w:rsid w:val="00646364"/>
    <w:rsid w:val="006528EB"/>
    <w:rsid w:val="006536A2"/>
    <w:rsid w:val="00664057"/>
    <w:rsid w:val="00672385"/>
    <w:rsid w:val="00677E40"/>
    <w:rsid w:val="00677EF7"/>
    <w:rsid w:val="006815FB"/>
    <w:rsid w:val="00690FD2"/>
    <w:rsid w:val="0069273B"/>
    <w:rsid w:val="00692DAC"/>
    <w:rsid w:val="006A0FBE"/>
    <w:rsid w:val="006A4280"/>
    <w:rsid w:val="006A5349"/>
    <w:rsid w:val="006A67AB"/>
    <w:rsid w:val="006B06B9"/>
    <w:rsid w:val="006B096E"/>
    <w:rsid w:val="006B31FC"/>
    <w:rsid w:val="006B7366"/>
    <w:rsid w:val="006C1719"/>
    <w:rsid w:val="006C2B30"/>
    <w:rsid w:val="006E180B"/>
    <w:rsid w:val="006E3EC1"/>
    <w:rsid w:val="006F15C3"/>
    <w:rsid w:val="006F2DED"/>
    <w:rsid w:val="006F5AEC"/>
    <w:rsid w:val="00700872"/>
    <w:rsid w:val="00710969"/>
    <w:rsid w:val="00716A93"/>
    <w:rsid w:val="00723AB3"/>
    <w:rsid w:val="00727F06"/>
    <w:rsid w:val="00736944"/>
    <w:rsid w:val="00741D04"/>
    <w:rsid w:val="00741E2D"/>
    <w:rsid w:val="00743829"/>
    <w:rsid w:val="00743E47"/>
    <w:rsid w:val="007550A3"/>
    <w:rsid w:val="007556FC"/>
    <w:rsid w:val="00761EED"/>
    <w:rsid w:val="007631D1"/>
    <w:rsid w:val="00764137"/>
    <w:rsid w:val="007642D3"/>
    <w:rsid w:val="00767BD2"/>
    <w:rsid w:val="0077088B"/>
    <w:rsid w:val="00770BD1"/>
    <w:rsid w:val="0077145F"/>
    <w:rsid w:val="0077185E"/>
    <w:rsid w:val="007779EC"/>
    <w:rsid w:val="0079109F"/>
    <w:rsid w:val="00791B28"/>
    <w:rsid w:val="00795272"/>
    <w:rsid w:val="007A05E1"/>
    <w:rsid w:val="007A63AF"/>
    <w:rsid w:val="007B1475"/>
    <w:rsid w:val="007B4B5A"/>
    <w:rsid w:val="007B5CD2"/>
    <w:rsid w:val="007C0B63"/>
    <w:rsid w:val="007C0E8E"/>
    <w:rsid w:val="007C2461"/>
    <w:rsid w:val="007C65F4"/>
    <w:rsid w:val="007C706C"/>
    <w:rsid w:val="007D00AE"/>
    <w:rsid w:val="007F1B1C"/>
    <w:rsid w:val="00804D31"/>
    <w:rsid w:val="00813701"/>
    <w:rsid w:val="00813789"/>
    <w:rsid w:val="008177A4"/>
    <w:rsid w:val="00830277"/>
    <w:rsid w:val="00842CE1"/>
    <w:rsid w:val="00843AB2"/>
    <w:rsid w:val="00844DED"/>
    <w:rsid w:val="008458A9"/>
    <w:rsid w:val="0084641E"/>
    <w:rsid w:val="00861B42"/>
    <w:rsid w:val="0086668E"/>
    <w:rsid w:val="00866B96"/>
    <w:rsid w:val="00873281"/>
    <w:rsid w:val="00875DEE"/>
    <w:rsid w:val="00880A4E"/>
    <w:rsid w:val="0088178E"/>
    <w:rsid w:val="00881BD6"/>
    <w:rsid w:val="00881E90"/>
    <w:rsid w:val="00885F5D"/>
    <w:rsid w:val="0089535B"/>
    <w:rsid w:val="008A6064"/>
    <w:rsid w:val="008B265E"/>
    <w:rsid w:val="008B3E6D"/>
    <w:rsid w:val="008C2800"/>
    <w:rsid w:val="008C593F"/>
    <w:rsid w:val="008C76A5"/>
    <w:rsid w:val="008D0A00"/>
    <w:rsid w:val="008D4B32"/>
    <w:rsid w:val="008E459D"/>
    <w:rsid w:val="008F4362"/>
    <w:rsid w:val="009005DB"/>
    <w:rsid w:val="0090219A"/>
    <w:rsid w:val="009031BC"/>
    <w:rsid w:val="00907E17"/>
    <w:rsid w:val="0091020E"/>
    <w:rsid w:val="00915BC5"/>
    <w:rsid w:val="00917018"/>
    <w:rsid w:val="00922217"/>
    <w:rsid w:val="0093045F"/>
    <w:rsid w:val="00932AA6"/>
    <w:rsid w:val="00933591"/>
    <w:rsid w:val="00940D8A"/>
    <w:rsid w:val="009413CD"/>
    <w:rsid w:val="009424A4"/>
    <w:rsid w:val="00945AE5"/>
    <w:rsid w:val="00957660"/>
    <w:rsid w:val="009612DF"/>
    <w:rsid w:val="00961EC9"/>
    <w:rsid w:val="009630F4"/>
    <w:rsid w:val="009742A4"/>
    <w:rsid w:val="009813EA"/>
    <w:rsid w:val="009976F7"/>
    <w:rsid w:val="009A395A"/>
    <w:rsid w:val="009B56CB"/>
    <w:rsid w:val="009B5FDC"/>
    <w:rsid w:val="009C6222"/>
    <w:rsid w:val="009E6BD4"/>
    <w:rsid w:val="009E7BC0"/>
    <w:rsid w:val="009F2D1B"/>
    <w:rsid w:val="009F2DCE"/>
    <w:rsid w:val="009F572A"/>
    <w:rsid w:val="00A06469"/>
    <w:rsid w:val="00A068AC"/>
    <w:rsid w:val="00A220DB"/>
    <w:rsid w:val="00A264EC"/>
    <w:rsid w:val="00A36A6A"/>
    <w:rsid w:val="00A445FE"/>
    <w:rsid w:val="00A636D5"/>
    <w:rsid w:val="00A64501"/>
    <w:rsid w:val="00A67BA7"/>
    <w:rsid w:val="00A74A5D"/>
    <w:rsid w:val="00A75220"/>
    <w:rsid w:val="00A815AE"/>
    <w:rsid w:val="00A81C94"/>
    <w:rsid w:val="00A875D3"/>
    <w:rsid w:val="00AB243F"/>
    <w:rsid w:val="00AB5945"/>
    <w:rsid w:val="00AC0010"/>
    <w:rsid w:val="00AC2E54"/>
    <w:rsid w:val="00AC6871"/>
    <w:rsid w:val="00AD01C9"/>
    <w:rsid w:val="00AD14D0"/>
    <w:rsid w:val="00AD592A"/>
    <w:rsid w:val="00AE01B4"/>
    <w:rsid w:val="00AE1772"/>
    <w:rsid w:val="00AE215B"/>
    <w:rsid w:val="00AF1629"/>
    <w:rsid w:val="00AF7C65"/>
    <w:rsid w:val="00B04788"/>
    <w:rsid w:val="00B2009C"/>
    <w:rsid w:val="00B2258C"/>
    <w:rsid w:val="00B2793A"/>
    <w:rsid w:val="00B31900"/>
    <w:rsid w:val="00B362A4"/>
    <w:rsid w:val="00B411C8"/>
    <w:rsid w:val="00B441AD"/>
    <w:rsid w:val="00B52424"/>
    <w:rsid w:val="00B53F41"/>
    <w:rsid w:val="00B61086"/>
    <w:rsid w:val="00B652B2"/>
    <w:rsid w:val="00B6706B"/>
    <w:rsid w:val="00B7175E"/>
    <w:rsid w:val="00B744DF"/>
    <w:rsid w:val="00B82133"/>
    <w:rsid w:val="00B8499C"/>
    <w:rsid w:val="00B85AC7"/>
    <w:rsid w:val="00B87A09"/>
    <w:rsid w:val="00BA1DC8"/>
    <w:rsid w:val="00BA234C"/>
    <w:rsid w:val="00BA2782"/>
    <w:rsid w:val="00BA2F1E"/>
    <w:rsid w:val="00BA5E39"/>
    <w:rsid w:val="00BC19AF"/>
    <w:rsid w:val="00BC22B9"/>
    <w:rsid w:val="00BC2469"/>
    <w:rsid w:val="00BC2DDF"/>
    <w:rsid w:val="00BC3CC4"/>
    <w:rsid w:val="00BC4D30"/>
    <w:rsid w:val="00BE42EA"/>
    <w:rsid w:val="00BF2E67"/>
    <w:rsid w:val="00BF4486"/>
    <w:rsid w:val="00C07361"/>
    <w:rsid w:val="00C10C32"/>
    <w:rsid w:val="00C173E7"/>
    <w:rsid w:val="00C17902"/>
    <w:rsid w:val="00C31655"/>
    <w:rsid w:val="00C31D46"/>
    <w:rsid w:val="00C327C9"/>
    <w:rsid w:val="00C337B9"/>
    <w:rsid w:val="00C3466E"/>
    <w:rsid w:val="00C34F36"/>
    <w:rsid w:val="00C46CFF"/>
    <w:rsid w:val="00C570E6"/>
    <w:rsid w:val="00C61490"/>
    <w:rsid w:val="00C61945"/>
    <w:rsid w:val="00C62BA3"/>
    <w:rsid w:val="00C652F8"/>
    <w:rsid w:val="00C6594F"/>
    <w:rsid w:val="00C7181E"/>
    <w:rsid w:val="00C726A1"/>
    <w:rsid w:val="00C73EAE"/>
    <w:rsid w:val="00C814AB"/>
    <w:rsid w:val="00C83D9D"/>
    <w:rsid w:val="00C85C5C"/>
    <w:rsid w:val="00C87DCA"/>
    <w:rsid w:val="00C97D44"/>
    <w:rsid w:val="00CA3397"/>
    <w:rsid w:val="00CA6CAB"/>
    <w:rsid w:val="00CC4999"/>
    <w:rsid w:val="00CC4C3B"/>
    <w:rsid w:val="00CC5C93"/>
    <w:rsid w:val="00CD16D0"/>
    <w:rsid w:val="00CD3F2F"/>
    <w:rsid w:val="00CD3F84"/>
    <w:rsid w:val="00CD797F"/>
    <w:rsid w:val="00CE1717"/>
    <w:rsid w:val="00CE71CF"/>
    <w:rsid w:val="00CF04B6"/>
    <w:rsid w:val="00CF2E9F"/>
    <w:rsid w:val="00D00964"/>
    <w:rsid w:val="00D07C16"/>
    <w:rsid w:val="00D177F4"/>
    <w:rsid w:val="00D24504"/>
    <w:rsid w:val="00D26595"/>
    <w:rsid w:val="00D30775"/>
    <w:rsid w:val="00D3279A"/>
    <w:rsid w:val="00D36F2F"/>
    <w:rsid w:val="00D37A50"/>
    <w:rsid w:val="00D41198"/>
    <w:rsid w:val="00D4449C"/>
    <w:rsid w:val="00D44E7C"/>
    <w:rsid w:val="00D62EF7"/>
    <w:rsid w:val="00D63884"/>
    <w:rsid w:val="00D646CD"/>
    <w:rsid w:val="00D66647"/>
    <w:rsid w:val="00D775A5"/>
    <w:rsid w:val="00D81BB0"/>
    <w:rsid w:val="00D858A9"/>
    <w:rsid w:val="00D91BDF"/>
    <w:rsid w:val="00DA3CF7"/>
    <w:rsid w:val="00DB49F2"/>
    <w:rsid w:val="00DB6954"/>
    <w:rsid w:val="00DD17A3"/>
    <w:rsid w:val="00DD278D"/>
    <w:rsid w:val="00DD3AEB"/>
    <w:rsid w:val="00DE12AF"/>
    <w:rsid w:val="00DE1CE0"/>
    <w:rsid w:val="00DE4744"/>
    <w:rsid w:val="00DE7670"/>
    <w:rsid w:val="00DF341D"/>
    <w:rsid w:val="00DF487D"/>
    <w:rsid w:val="00E02B91"/>
    <w:rsid w:val="00E1019A"/>
    <w:rsid w:val="00E15128"/>
    <w:rsid w:val="00E1640B"/>
    <w:rsid w:val="00E2240A"/>
    <w:rsid w:val="00E22844"/>
    <w:rsid w:val="00E243AE"/>
    <w:rsid w:val="00E40122"/>
    <w:rsid w:val="00E431E0"/>
    <w:rsid w:val="00E45C5F"/>
    <w:rsid w:val="00E506DA"/>
    <w:rsid w:val="00E5094D"/>
    <w:rsid w:val="00E55D85"/>
    <w:rsid w:val="00E56277"/>
    <w:rsid w:val="00E60981"/>
    <w:rsid w:val="00E610EB"/>
    <w:rsid w:val="00E72BF3"/>
    <w:rsid w:val="00E739EA"/>
    <w:rsid w:val="00E75CB4"/>
    <w:rsid w:val="00E764E6"/>
    <w:rsid w:val="00E819B9"/>
    <w:rsid w:val="00E8594D"/>
    <w:rsid w:val="00E9157E"/>
    <w:rsid w:val="00E92BAC"/>
    <w:rsid w:val="00E96EBE"/>
    <w:rsid w:val="00EA1ABD"/>
    <w:rsid w:val="00EA38E3"/>
    <w:rsid w:val="00EA542B"/>
    <w:rsid w:val="00EA5E0D"/>
    <w:rsid w:val="00EA751B"/>
    <w:rsid w:val="00EB1382"/>
    <w:rsid w:val="00EB3F3B"/>
    <w:rsid w:val="00EC2917"/>
    <w:rsid w:val="00EC7B49"/>
    <w:rsid w:val="00ED1375"/>
    <w:rsid w:val="00ED1542"/>
    <w:rsid w:val="00ED7EC2"/>
    <w:rsid w:val="00EE20B1"/>
    <w:rsid w:val="00EE36E2"/>
    <w:rsid w:val="00EE53B6"/>
    <w:rsid w:val="00EF1A1C"/>
    <w:rsid w:val="00EF29D8"/>
    <w:rsid w:val="00EF2EDC"/>
    <w:rsid w:val="00EF3BCF"/>
    <w:rsid w:val="00EF4419"/>
    <w:rsid w:val="00EF5726"/>
    <w:rsid w:val="00EF589D"/>
    <w:rsid w:val="00F068B7"/>
    <w:rsid w:val="00F11977"/>
    <w:rsid w:val="00F1554A"/>
    <w:rsid w:val="00F15E82"/>
    <w:rsid w:val="00F179C0"/>
    <w:rsid w:val="00F242B0"/>
    <w:rsid w:val="00F324BD"/>
    <w:rsid w:val="00F43648"/>
    <w:rsid w:val="00F43CC6"/>
    <w:rsid w:val="00F463B7"/>
    <w:rsid w:val="00F51E29"/>
    <w:rsid w:val="00F53741"/>
    <w:rsid w:val="00F61918"/>
    <w:rsid w:val="00F6382A"/>
    <w:rsid w:val="00F83530"/>
    <w:rsid w:val="00F86621"/>
    <w:rsid w:val="00FA00A3"/>
    <w:rsid w:val="00FB661E"/>
    <w:rsid w:val="00FB723B"/>
    <w:rsid w:val="00FB7F7A"/>
    <w:rsid w:val="00FC3A4E"/>
    <w:rsid w:val="00FD0337"/>
    <w:rsid w:val="00FD755A"/>
    <w:rsid w:val="00FD7A4F"/>
    <w:rsid w:val="00FE701E"/>
    <w:rsid w:val="00FE7F0D"/>
    <w:rsid w:val="00FF0D08"/>
    <w:rsid w:val="00FF36C0"/>
    <w:rsid w:val="00FF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Number">
    <w:name w:val="List Number"/>
    <w:basedOn w:val="Normal"/>
    <w:uiPriority w:val="99"/>
    <w:unhideWhenUsed/>
    <w:rsid w:val="00031D61"/>
    <w:pPr>
      <w:numPr>
        <w:numId w:val="39"/>
      </w:numPr>
      <w:contextualSpacing/>
    </w:pPr>
  </w:style>
  <w:style w:type="paragraph" w:styleId="ListNumber2">
    <w:name w:val="List Number 2"/>
    <w:basedOn w:val="Normal"/>
    <w:uiPriority w:val="99"/>
    <w:unhideWhenUsed/>
    <w:rsid w:val="00031D61"/>
    <w:pPr>
      <w:numPr>
        <w:numId w:val="40"/>
      </w:numPr>
      <w:contextualSpacing/>
    </w:pPr>
  </w:style>
  <w:style w:type="paragraph" w:styleId="ListNumber3">
    <w:name w:val="List Number 3"/>
    <w:basedOn w:val="Normal"/>
    <w:uiPriority w:val="99"/>
    <w:unhideWhenUsed/>
    <w:rsid w:val="00031D61"/>
    <w:pPr>
      <w:numPr>
        <w:numId w:val="4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F2"/>
    <w:rPr>
      <w:sz w:val="24"/>
      <w:szCs w:val="24"/>
      <w:lang w:eastAsia="en-US"/>
    </w:rPr>
  </w:style>
  <w:style w:type="paragraph" w:styleId="Heading1">
    <w:name w:val="heading 1"/>
    <w:basedOn w:val="Normal"/>
    <w:next w:val="Normal"/>
    <w:qFormat/>
    <w:rsid w:val="00DB49F2"/>
    <w:pPr>
      <w:keepNext/>
      <w:tabs>
        <w:tab w:val="left" w:pos="7920"/>
      </w:tabs>
      <w:outlineLvl w:val="0"/>
    </w:pPr>
    <w:rPr>
      <w:rFonts w:ascii="Arial" w:hAnsi="Arial"/>
      <w:sz w:val="36"/>
      <w:szCs w:val="20"/>
    </w:rPr>
  </w:style>
  <w:style w:type="paragraph" w:styleId="Heading2">
    <w:name w:val="heading 2"/>
    <w:basedOn w:val="Normal"/>
    <w:qFormat/>
    <w:rsid w:val="00DB49F2"/>
    <w:pPr>
      <w:spacing w:before="100" w:beforeAutospacing="1" w:after="100" w:afterAutospacing="1"/>
      <w:outlineLvl w:val="1"/>
    </w:pPr>
    <w:rPr>
      <w:rFonts w:ascii="Arial" w:hAnsi="Arial" w:cs="Arial"/>
      <w:b/>
      <w:bCs/>
      <w:color w:val="1B578C"/>
    </w:rPr>
  </w:style>
  <w:style w:type="paragraph" w:styleId="Heading3">
    <w:name w:val="heading 3"/>
    <w:basedOn w:val="Normal"/>
    <w:qFormat/>
    <w:rsid w:val="00DB49F2"/>
    <w:pPr>
      <w:spacing w:before="100" w:beforeAutospacing="1" w:after="100" w:afterAutospacing="1"/>
      <w:outlineLvl w:val="2"/>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B49F2"/>
    <w:pPr>
      <w:autoSpaceDE w:val="0"/>
      <w:autoSpaceDN w:val="0"/>
      <w:adjustRightInd w:val="0"/>
    </w:pPr>
    <w:rPr>
      <w:lang w:val="en-US"/>
    </w:rPr>
  </w:style>
  <w:style w:type="paragraph" w:styleId="NormalWeb">
    <w:name w:val="Normal (Web)"/>
    <w:basedOn w:val="Normal"/>
    <w:rsid w:val="00DB49F2"/>
    <w:pPr>
      <w:spacing w:before="100" w:beforeAutospacing="1" w:after="100" w:afterAutospacing="1"/>
    </w:pPr>
  </w:style>
  <w:style w:type="character" w:styleId="Hyperlink">
    <w:name w:val="Hyperlink"/>
    <w:basedOn w:val="DefaultParagraphFont"/>
    <w:rsid w:val="00DB49F2"/>
    <w:rPr>
      <w:color w:val="0000FF"/>
      <w:u w:val="single"/>
    </w:rPr>
  </w:style>
  <w:style w:type="paragraph" w:styleId="Header">
    <w:name w:val="header"/>
    <w:basedOn w:val="Normal"/>
    <w:rsid w:val="00AE01B4"/>
    <w:pPr>
      <w:tabs>
        <w:tab w:val="center" w:pos="4153"/>
        <w:tab w:val="right" w:pos="8306"/>
      </w:tabs>
    </w:pPr>
  </w:style>
  <w:style w:type="paragraph" w:styleId="Footer">
    <w:name w:val="footer"/>
    <w:basedOn w:val="Normal"/>
    <w:link w:val="FooterChar"/>
    <w:uiPriority w:val="99"/>
    <w:rsid w:val="00AE01B4"/>
    <w:pPr>
      <w:tabs>
        <w:tab w:val="center" w:pos="4153"/>
        <w:tab w:val="right" w:pos="8306"/>
      </w:tabs>
    </w:pPr>
  </w:style>
  <w:style w:type="paragraph" w:styleId="ListParagraph">
    <w:name w:val="List Paragraph"/>
    <w:basedOn w:val="Normal"/>
    <w:uiPriority w:val="34"/>
    <w:qFormat/>
    <w:rsid w:val="00B2009C"/>
    <w:pPr>
      <w:ind w:left="720"/>
      <w:contextualSpacing/>
    </w:pPr>
    <w:rPr>
      <w:rFonts w:ascii="Arial" w:eastAsia="Calibri" w:hAnsi="Arial" w:cs="Arial"/>
      <w:sz w:val="20"/>
      <w:szCs w:val="22"/>
    </w:rPr>
  </w:style>
  <w:style w:type="paragraph" w:styleId="FootnoteText">
    <w:name w:val="footnote text"/>
    <w:basedOn w:val="Normal"/>
    <w:link w:val="FootnoteTextChar"/>
    <w:semiHidden/>
    <w:unhideWhenUsed/>
    <w:rsid w:val="00287C97"/>
    <w:rPr>
      <w:sz w:val="20"/>
      <w:szCs w:val="20"/>
    </w:rPr>
  </w:style>
  <w:style w:type="character" w:customStyle="1" w:styleId="FootnoteTextChar">
    <w:name w:val="Footnote Text Char"/>
    <w:basedOn w:val="DefaultParagraphFont"/>
    <w:link w:val="FootnoteText"/>
    <w:uiPriority w:val="99"/>
    <w:semiHidden/>
    <w:rsid w:val="00287C97"/>
    <w:rPr>
      <w:lang w:eastAsia="en-US"/>
    </w:rPr>
  </w:style>
  <w:style w:type="character" w:styleId="FootnoteReference">
    <w:name w:val="footnote reference"/>
    <w:basedOn w:val="DefaultParagraphFont"/>
    <w:semiHidden/>
    <w:unhideWhenUsed/>
    <w:rsid w:val="00287C97"/>
    <w:rPr>
      <w:vertAlign w:val="superscript"/>
    </w:rPr>
  </w:style>
  <w:style w:type="paragraph" w:styleId="CommentText">
    <w:name w:val="annotation text"/>
    <w:basedOn w:val="Normal"/>
    <w:link w:val="CommentTextChar"/>
    <w:semiHidden/>
    <w:rsid w:val="00256750"/>
    <w:rPr>
      <w:sz w:val="20"/>
      <w:szCs w:val="20"/>
      <w:lang w:eastAsia="en-GB"/>
    </w:rPr>
  </w:style>
  <w:style w:type="character" w:customStyle="1" w:styleId="CommentTextChar">
    <w:name w:val="Comment Text Char"/>
    <w:basedOn w:val="DefaultParagraphFont"/>
    <w:link w:val="CommentText"/>
    <w:semiHidden/>
    <w:rsid w:val="00256750"/>
  </w:style>
  <w:style w:type="paragraph" w:styleId="BalloonText">
    <w:name w:val="Balloon Text"/>
    <w:basedOn w:val="Normal"/>
    <w:link w:val="BalloonTextChar"/>
    <w:uiPriority w:val="99"/>
    <w:semiHidden/>
    <w:unhideWhenUsed/>
    <w:rsid w:val="00FB661E"/>
    <w:rPr>
      <w:rFonts w:ascii="Tahoma" w:hAnsi="Tahoma" w:cs="Tahoma"/>
      <w:sz w:val="16"/>
      <w:szCs w:val="16"/>
    </w:rPr>
  </w:style>
  <w:style w:type="character" w:customStyle="1" w:styleId="BalloonTextChar">
    <w:name w:val="Balloon Text Char"/>
    <w:basedOn w:val="DefaultParagraphFont"/>
    <w:link w:val="BalloonText"/>
    <w:uiPriority w:val="99"/>
    <w:semiHidden/>
    <w:rsid w:val="00FB661E"/>
    <w:rPr>
      <w:rFonts w:ascii="Tahoma" w:hAnsi="Tahoma" w:cs="Tahoma"/>
      <w:sz w:val="16"/>
      <w:szCs w:val="16"/>
      <w:lang w:eastAsia="en-US"/>
    </w:rPr>
  </w:style>
  <w:style w:type="paragraph" w:styleId="NoSpacing">
    <w:name w:val="No Spacing"/>
    <w:uiPriority w:val="1"/>
    <w:qFormat/>
    <w:rsid w:val="005C1FCC"/>
    <w:rPr>
      <w:sz w:val="24"/>
      <w:szCs w:val="24"/>
      <w:lang w:eastAsia="en-US"/>
    </w:rPr>
  </w:style>
  <w:style w:type="table" w:styleId="TableGrid">
    <w:name w:val="Table Grid"/>
    <w:basedOn w:val="TableNormal"/>
    <w:uiPriority w:val="59"/>
    <w:rsid w:val="001D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24B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56FC"/>
    <w:rPr>
      <w:color w:val="800080" w:themeColor="followedHyperlink"/>
      <w:u w:val="single"/>
    </w:rPr>
  </w:style>
  <w:style w:type="character" w:styleId="CommentReference">
    <w:name w:val="annotation reference"/>
    <w:basedOn w:val="DefaultParagraphFont"/>
    <w:uiPriority w:val="99"/>
    <w:semiHidden/>
    <w:unhideWhenUsed/>
    <w:rsid w:val="006139A7"/>
    <w:rPr>
      <w:sz w:val="16"/>
      <w:szCs w:val="16"/>
    </w:rPr>
  </w:style>
  <w:style w:type="paragraph" w:styleId="CommentSubject">
    <w:name w:val="annotation subject"/>
    <w:basedOn w:val="CommentText"/>
    <w:next w:val="CommentText"/>
    <w:link w:val="CommentSubjectChar"/>
    <w:uiPriority w:val="99"/>
    <w:semiHidden/>
    <w:unhideWhenUsed/>
    <w:rsid w:val="006139A7"/>
    <w:rPr>
      <w:b/>
      <w:bCs/>
      <w:lang w:eastAsia="en-US"/>
    </w:rPr>
  </w:style>
  <w:style w:type="character" w:customStyle="1" w:styleId="CommentSubjectChar">
    <w:name w:val="Comment Subject Char"/>
    <w:basedOn w:val="CommentTextChar"/>
    <w:link w:val="CommentSubject"/>
    <w:uiPriority w:val="99"/>
    <w:semiHidden/>
    <w:rsid w:val="006139A7"/>
    <w:rPr>
      <w:b/>
      <w:bCs/>
      <w:lang w:eastAsia="en-US"/>
    </w:rPr>
  </w:style>
  <w:style w:type="paragraph" w:styleId="Revision">
    <w:name w:val="Revision"/>
    <w:hidden/>
    <w:uiPriority w:val="99"/>
    <w:semiHidden/>
    <w:rsid w:val="005275BC"/>
    <w:rPr>
      <w:sz w:val="24"/>
      <w:szCs w:val="24"/>
      <w:lang w:eastAsia="en-US"/>
    </w:rPr>
  </w:style>
  <w:style w:type="character" w:customStyle="1" w:styleId="FooterChar">
    <w:name w:val="Footer Char"/>
    <w:basedOn w:val="DefaultParagraphFont"/>
    <w:link w:val="Footer"/>
    <w:uiPriority w:val="99"/>
    <w:rsid w:val="00580F8D"/>
    <w:rPr>
      <w:sz w:val="24"/>
      <w:szCs w:val="24"/>
      <w:lang w:eastAsia="en-US"/>
    </w:rPr>
  </w:style>
  <w:style w:type="paragraph" w:styleId="ListNumber">
    <w:name w:val="List Number"/>
    <w:basedOn w:val="Normal"/>
    <w:uiPriority w:val="99"/>
    <w:unhideWhenUsed/>
    <w:rsid w:val="00031D61"/>
    <w:pPr>
      <w:numPr>
        <w:numId w:val="39"/>
      </w:numPr>
      <w:contextualSpacing/>
    </w:pPr>
  </w:style>
  <w:style w:type="paragraph" w:styleId="ListNumber2">
    <w:name w:val="List Number 2"/>
    <w:basedOn w:val="Normal"/>
    <w:uiPriority w:val="99"/>
    <w:unhideWhenUsed/>
    <w:rsid w:val="00031D61"/>
    <w:pPr>
      <w:numPr>
        <w:numId w:val="40"/>
      </w:numPr>
      <w:contextualSpacing/>
    </w:pPr>
  </w:style>
  <w:style w:type="paragraph" w:styleId="ListNumber3">
    <w:name w:val="List Number 3"/>
    <w:basedOn w:val="Normal"/>
    <w:uiPriority w:val="99"/>
    <w:unhideWhenUsed/>
    <w:rsid w:val="00031D61"/>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85">
      <w:bodyDiv w:val="1"/>
      <w:marLeft w:val="0"/>
      <w:marRight w:val="0"/>
      <w:marTop w:val="0"/>
      <w:marBottom w:val="0"/>
      <w:divBdr>
        <w:top w:val="none" w:sz="0" w:space="0" w:color="auto"/>
        <w:left w:val="none" w:sz="0" w:space="0" w:color="auto"/>
        <w:bottom w:val="none" w:sz="0" w:space="0" w:color="auto"/>
        <w:right w:val="none" w:sz="0" w:space="0" w:color="auto"/>
      </w:divBdr>
      <w:divsChild>
        <w:div w:id="425662756">
          <w:marLeft w:val="0"/>
          <w:marRight w:val="0"/>
          <w:marTop w:val="0"/>
          <w:marBottom w:val="0"/>
          <w:divBdr>
            <w:top w:val="none" w:sz="0" w:space="0" w:color="auto"/>
            <w:left w:val="none" w:sz="0" w:space="0" w:color="auto"/>
            <w:bottom w:val="none" w:sz="0" w:space="0" w:color="auto"/>
            <w:right w:val="none" w:sz="0" w:space="0" w:color="auto"/>
          </w:divBdr>
          <w:divsChild>
            <w:div w:id="1874615230">
              <w:marLeft w:val="0"/>
              <w:marRight w:val="0"/>
              <w:marTop w:val="0"/>
              <w:marBottom w:val="0"/>
              <w:divBdr>
                <w:top w:val="none" w:sz="0" w:space="0" w:color="auto"/>
                <w:left w:val="none" w:sz="0" w:space="0" w:color="auto"/>
                <w:bottom w:val="none" w:sz="0" w:space="0" w:color="auto"/>
                <w:right w:val="none" w:sz="0" w:space="0" w:color="auto"/>
              </w:divBdr>
              <w:divsChild>
                <w:div w:id="1435319046">
                  <w:marLeft w:val="0"/>
                  <w:marRight w:val="0"/>
                  <w:marTop w:val="0"/>
                  <w:marBottom w:val="0"/>
                  <w:divBdr>
                    <w:top w:val="none" w:sz="0" w:space="0" w:color="auto"/>
                    <w:left w:val="none" w:sz="0" w:space="0" w:color="auto"/>
                    <w:bottom w:val="none" w:sz="0" w:space="0" w:color="auto"/>
                    <w:right w:val="none" w:sz="0" w:space="0" w:color="auto"/>
                  </w:divBdr>
                  <w:divsChild>
                    <w:div w:id="10744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3774">
      <w:bodyDiv w:val="1"/>
      <w:marLeft w:val="0"/>
      <w:marRight w:val="0"/>
      <w:marTop w:val="0"/>
      <w:marBottom w:val="0"/>
      <w:divBdr>
        <w:top w:val="none" w:sz="0" w:space="0" w:color="auto"/>
        <w:left w:val="none" w:sz="0" w:space="0" w:color="auto"/>
        <w:bottom w:val="none" w:sz="0" w:space="0" w:color="auto"/>
        <w:right w:val="none" w:sz="0" w:space="0" w:color="auto"/>
      </w:divBdr>
    </w:div>
    <w:div w:id="519389808">
      <w:bodyDiv w:val="1"/>
      <w:marLeft w:val="0"/>
      <w:marRight w:val="0"/>
      <w:marTop w:val="0"/>
      <w:marBottom w:val="0"/>
      <w:divBdr>
        <w:top w:val="none" w:sz="0" w:space="0" w:color="auto"/>
        <w:left w:val="none" w:sz="0" w:space="0" w:color="auto"/>
        <w:bottom w:val="none" w:sz="0" w:space="0" w:color="auto"/>
        <w:right w:val="none" w:sz="0" w:space="0" w:color="auto"/>
      </w:divBdr>
    </w:div>
    <w:div w:id="670644979">
      <w:bodyDiv w:val="1"/>
      <w:marLeft w:val="0"/>
      <w:marRight w:val="0"/>
      <w:marTop w:val="0"/>
      <w:marBottom w:val="0"/>
      <w:divBdr>
        <w:top w:val="none" w:sz="0" w:space="0" w:color="auto"/>
        <w:left w:val="none" w:sz="0" w:space="0" w:color="auto"/>
        <w:bottom w:val="none" w:sz="0" w:space="0" w:color="auto"/>
        <w:right w:val="none" w:sz="0" w:space="0" w:color="auto"/>
      </w:divBdr>
    </w:div>
    <w:div w:id="1180466240">
      <w:bodyDiv w:val="1"/>
      <w:marLeft w:val="0"/>
      <w:marRight w:val="0"/>
      <w:marTop w:val="0"/>
      <w:marBottom w:val="0"/>
      <w:divBdr>
        <w:top w:val="none" w:sz="0" w:space="0" w:color="auto"/>
        <w:left w:val="none" w:sz="0" w:space="0" w:color="auto"/>
        <w:bottom w:val="none" w:sz="0" w:space="0" w:color="auto"/>
        <w:right w:val="none" w:sz="0" w:space="0" w:color="auto"/>
      </w:divBdr>
    </w:div>
    <w:div w:id="1616325206">
      <w:bodyDiv w:val="1"/>
      <w:marLeft w:val="0"/>
      <w:marRight w:val="0"/>
      <w:marTop w:val="0"/>
      <w:marBottom w:val="0"/>
      <w:divBdr>
        <w:top w:val="none" w:sz="0" w:space="0" w:color="auto"/>
        <w:left w:val="none" w:sz="0" w:space="0" w:color="auto"/>
        <w:bottom w:val="none" w:sz="0" w:space="0" w:color="auto"/>
        <w:right w:val="none" w:sz="0" w:space="0" w:color="auto"/>
      </w:divBdr>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jpg@01CFF754.E5CD8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CFF754.E5CD8A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4373C-4CFE-43BD-96B2-D3909E3B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CHESHIRE EAST COUNCIL</vt:lpstr>
    </vt:vector>
  </TitlesOfParts>
  <Company>CBC</Company>
  <LinksUpToDate>false</LinksUpToDate>
  <CharactersWithSpaces>10725</CharactersWithSpaces>
  <SharedDoc>false</SharedDoc>
  <HLinks>
    <vt:vector size="6" baseType="variant">
      <vt:variant>
        <vt:i4>7602252</vt:i4>
      </vt:variant>
      <vt:variant>
        <vt:i4>0</vt:i4>
      </vt:variant>
      <vt:variant>
        <vt:i4>0</vt:i4>
      </vt:variant>
      <vt:variant>
        <vt:i4>5</vt:i4>
      </vt:variant>
      <vt:variant>
        <vt:lpwstr>http://www.gov.uk/government/uploads/system/uploads/attachment_data/file/318212/northern-transpennine-consultation.pdf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EAST COUNCIL</dc:title>
  <dc:creator>1313324</dc:creator>
  <cp:lastModifiedBy>Newton, Roy</cp:lastModifiedBy>
  <cp:revision>12</cp:revision>
  <cp:lastPrinted>2016-11-01T14:31:00Z</cp:lastPrinted>
  <dcterms:created xsi:type="dcterms:W3CDTF">2018-03-21T14:40:00Z</dcterms:created>
  <dcterms:modified xsi:type="dcterms:W3CDTF">2018-03-27T14:19:00Z</dcterms:modified>
</cp:coreProperties>
</file>