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76CDB" w14:textId="77777777" w:rsidR="0068385F" w:rsidRDefault="0068385F" w:rsidP="0068385F">
      <w:pPr>
        <w:jc w:val="center"/>
      </w:pPr>
      <w:r>
        <w:rPr>
          <w:noProof/>
          <w:lang w:eastAsia="en-GB"/>
        </w:rPr>
        <w:drawing>
          <wp:anchor distT="0" distB="0" distL="114300" distR="114300" simplePos="0" relativeHeight="251659264" behindDoc="0" locked="0" layoutInCell="1" allowOverlap="1" wp14:anchorId="73A73B64" wp14:editId="719E5965">
            <wp:simplePos x="0" y="0"/>
            <wp:positionH relativeFrom="margin">
              <wp:posOffset>5105400</wp:posOffset>
            </wp:positionH>
            <wp:positionV relativeFrom="margin">
              <wp:posOffset>-558800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7E321" w14:textId="77777777" w:rsidR="0068385F" w:rsidRDefault="0068385F" w:rsidP="0068385F"/>
    <w:p w14:paraId="660BF631" w14:textId="1F73D1D5" w:rsidR="0068385F" w:rsidRPr="008E6EF9" w:rsidRDefault="0068385F" w:rsidP="0068385F">
      <w:pPr>
        <w:rPr>
          <w:b/>
          <w:bCs/>
          <w:sz w:val="24"/>
          <w:szCs w:val="24"/>
        </w:rPr>
      </w:pPr>
      <w:r w:rsidRPr="008E6EF9">
        <w:rPr>
          <w:b/>
          <w:bCs/>
          <w:sz w:val="24"/>
          <w:szCs w:val="24"/>
        </w:rPr>
        <w:t xml:space="preserve">Paper for: The </w:t>
      </w:r>
      <w:r w:rsidR="007A17BE">
        <w:rPr>
          <w:b/>
          <w:bCs/>
          <w:sz w:val="24"/>
          <w:szCs w:val="24"/>
        </w:rPr>
        <w:t>LEP Board</w:t>
      </w:r>
    </w:p>
    <w:p w14:paraId="73F09508" w14:textId="09CF543A" w:rsidR="0068385F" w:rsidRPr="008E6EF9" w:rsidRDefault="0068385F" w:rsidP="0068385F">
      <w:pPr>
        <w:rPr>
          <w:b/>
          <w:bCs/>
          <w:sz w:val="24"/>
          <w:szCs w:val="24"/>
        </w:rPr>
      </w:pPr>
      <w:r w:rsidRPr="008E6EF9">
        <w:rPr>
          <w:b/>
          <w:bCs/>
          <w:sz w:val="24"/>
          <w:szCs w:val="24"/>
        </w:rPr>
        <w:t xml:space="preserve">Title:   </w:t>
      </w:r>
      <w:r w:rsidR="002346A6">
        <w:rPr>
          <w:b/>
          <w:bCs/>
          <w:sz w:val="24"/>
          <w:szCs w:val="24"/>
        </w:rPr>
        <w:t>Annual Delivery Plan and Annual Budget 2020-21</w:t>
      </w:r>
    </w:p>
    <w:p w14:paraId="6F924EF0" w14:textId="3C0CA7E6" w:rsidR="0068385F" w:rsidRPr="008E6EF9" w:rsidRDefault="0068385F" w:rsidP="0068385F">
      <w:pPr>
        <w:rPr>
          <w:b/>
          <w:bCs/>
          <w:sz w:val="24"/>
          <w:szCs w:val="24"/>
        </w:rPr>
      </w:pPr>
      <w:r w:rsidRPr="008E6EF9">
        <w:rPr>
          <w:b/>
          <w:bCs/>
          <w:sz w:val="24"/>
          <w:szCs w:val="24"/>
        </w:rPr>
        <w:t xml:space="preserve">Date:  </w:t>
      </w:r>
      <w:r w:rsidR="002346A6">
        <w:rPr>
          <w:b/>
          <w:bCs/>
          <w:sz w:val="24"/>
          <w:szCs w:val="24"/>
        </w:rPr>
        <w:t>26</w:t>
      </w:r>
      <w:r w:rsidR="006853C3" w:rsidRPr="006853C3">
        <w:rPr>
          <w:b/>
          <w:bCs/>
          <w:sz w:val="24"/>
          <w:szCs w:val="24"/>
          <w:vertAlign w:val="superscript"/>
        </w:rPr>
        <w:t>th</w:t>
      </w:r>
      <w:r w:rsidR="006853C3">
        <w:rPr>
          <w:b/>
          <w:bCs/>
          <w:sz w:val="24"/>
          <w:szCs w:val="24"/>
        </w:rPr>
        <w:t xml:space="preserve"> February</w:t>
      </w:r>
      <w:r>
        <w:rPr>
          <w:b/>
          <w:bCs/>
          <w:sz w:val="24"/>
          <w:szCs w:val="24"/>
        </w:rPr>
        <w:t xml:space="preserve"> 2019</w:t>
      </w:r>
    </w:p>
    <w:p w14:paraId="5AEB30EA" w14:textId="05B40EEB" w:rsidR="0068385F" w:rsidRDefault="0068385F" w:rsidP="0068385F">
      <w:pPr>
        <w:rPr>
          <w:b/>
          <w:bCs/>
          <w:sz w:val="24"/>
          <w:szCs w:val="24"/>
        </w:rPr>
      </w:pPr>
      <w:r>
        <w:rPr>
          <w:b/>
          <w:bCs/>
          <w:sz w:val="24"/>
          <w:szCs w:val="24"/>
        </w:rPr>
        <w:t xml:space="preserve">Strategic </w:t>
      </w:r>
      <w:r w:rsidRPr="008E6EF9">
        <w:rPr>
          <w:b/>
          <w:bCs/>
          <w:sz w:val="24"/>
          <w:szCs w:val="24"/>
        </w:rPr>
        <w:t xml:space="preserve">Purpose:  </w:t>
      </w:r>
      <w:r w:rsidR="002346A6">
        <w:rPr>
          <w:b/>
          <w:bCs/>
          <w:sz w:val="24"/>
          <w:szCs w:val="24"/>
        </w:rPr>
        <w:t>Delivery Objectives</w:t>
      </w:r>
    </w:p>
    <w:p w14:paraId="0BC07839" w14:textId="4669E8DD" w:rsidR="0068385F" w:rsidRDefault="0068385F" w:rsidP="0068385F">
      <w:pPr>
        <w:rPr>
          <w:b/>
          <w:bCs/>
          <w:sz w:val="24"/>
          <w:szCs w:val="24"/>
        </w:rPr>
      </w:pPr>
      <w:r>
        <w:rPr>
          <w:b/>
          <w:bCs/>
          <w:sz w:val="24"/>
          <w:szCs w:val="24"/>
        </w:rPr>
        <w:t xml:space="preserve">Resource Implications:  </w:t>
      </w:r>
      <w:r w:rsidR="002346A6">
        <w:rPr>
          <w:b/>
          <w:bCs/>
          <w:sz w:val="24"/>
          <w:szCs w:val="24"/>
        </w:rPr>
        <w:t>Staff, Financial</w:t>
      </w:r>
    </w:p>
    <w:p w14:paraId="71D0D5CE" w14:textId="2C608740" w:rsidR="0068385F" w:rsidRDefault="007A17BE" w:rsidP="0068385F">
      <w:pPr>
        <w:rPr>
          <w:b/>
          <w:bCs/>
          <w:sz w:val="24"/>
          <w:szCs w:val="24"/>
        </w:rPr>
      </w:pPr>
      <w:r>
        <w:rPr>
          <w:b/>
          <w:bCs/>
          <w:sz w:val="24"/>
          <w:szCs w:val="24"/>
        </w:rPr>
        <w:t>Board</w:t>
      </w:r>
      <w:r w:rsidR="0068385F">
        <w:rPr>
          <w:b/>
          <w:bCs/>
          <w:sz w:val="24"/>
          <w:szCs w:val="24"/>
        </w:rPr>
        <w:t xml:space="preserve">:  </w:t>
      </w:r>
      <w:r w:rsidR="0068385F" w:rsidRPr="008E6EF9">
        <w:rPr>
          <w:b/>
          <w:bCs/>
          <w:sz w:val="24"/>
          <w:szCs w:val="24"/>
        </w:rPr>
        <w:t xml:space="preserve">For </w:t>
      </w:r>
      <w:r w:rsidR="0068385F">
        <w:rPr>
          <w:b/>
          <w:bCs/>
          <w:sz w:val="24"/>
          <w:szCs w:val="24"/>
        </w:rPr>
        <w:t>Decision</w:t>
      </w:r>
      <w:r>
        <w:rPr>
          <w:b/>
          <w:bCs/>
          <w:sz w:val="24"/>
          <w:szCs w:val="24"/>
        </w:rPr>
        <w:t xml:space="preserve"> – To </w:t>
      </w:r>
      <w:r w:rsidR="002346A6">
        <w:rPr>
          <w:b/>
          <w:bCs/>
          <w:sz w:val="24"/>
          <w:szCs w:val="24"/>
        </w:rPr>
        <w:t>Approve the LEP Annual Delivery Plan and Budget 2020-21</w:t>
      </w:r>
    </w:p>
    <w:p w14:paraId="3ED35446" w14:textId="77777777" w:rsidR="007E7AC4" w:rsidRDefault="007E7AC4" w:rsidP="007460F3">
      <w:pPr>
        <w:rPr>
          <w:b/>
          <w:bCs/>
          <w:sz w:val="24"/>
          <w:szCs w:val="24"/>
        </w:rPr>
      </w:pPr>
    </w:p>
    <w:p w14:paraId="0BA862D2" w14:textId="7D4AEF82" w:rsidR="007460F3" w:rsidRPr="005861A5" w:rsidRDefault="007460F3" w:rsidP="005861A5">
      <w:pPr>
        <w:pStyle w:val="ListParagraph"/>
        <w:numPr>
          <w:ilvl w:val="0"/>
          <w:numId w:val="17"/>
        </w:numPr>
        <w:rPr>
          <w:b/>
          <w:bCs/>
          <w:u w:val="single"/>
        </w:rPr>
      </w:pPr>
      <w:r w:rsidRPr="005861A5">
        <w:rPr>
          <w:b/>
          <w:bCs/>
          <w:u w:val="single"/>
        </w:rPr>
        <w:t xml:space="preserve">Introduction </w:t>
      </w:r>
    </w:p>
    <w:p w14:paraId="1DD1E10E" w14:textId="39E8BEC4" w:rsidR="00EE3DCE" w:rsidRDefault="00874723" w:rsidP="00E458EC">
      <w:pPr>
        <w:pStyle w:val="NoSpacing"/>
        <w:ind w:left="720"/>
        <w:rPr>
          <w:shd w:val="clear" w:color="auto" w:fill="FFFFFF"/>
        </w:rPr>
      </w:pPr>
      <w:r w:rsidRPr="00874723">
        <w:rPr>
          <w:shd w:val="clear" w:color="auto" w:fill="FFFFFF"/>
        </w:rPr>
        <w:t xml:space="preserve">The </w:t>
      </w:r>
      <w:r w:rsidR="000E72D5">
        <w:rPr>
          <w:shd w:val="clear" w:color="auto" w:fill="FFFFFF"/>
        </w:rPr>
        <w:t>B</w:t>
      </w:r>
      <w:r w:rsidRPr="00874723">
        <w:rPr>
          <w:shd w:val="clear" w:color="auto" w:fill="FFFFFF"/>
        </w:rPr>
        <w:t xml:space="preserve">oard </w:t>
      </w:r>
      <w:r>
        <w:rPr>
          <w:shd w:val="clear" w:color="auto" w:fill="FFFFFF"/>
        </w:rPr>
        <w:t xml:space="preserve">received presentations on the draft Annual Delivery Plan 2020-21 and draft Annual Budget 2020-21 at its discussion forum in January.  </w:t>
      </w:r>
    </w:p>
    <w:p w14:paraId="742C3C97" w14:textId="77777777" w:rsidR="00874723" w:rsidRDefault="00874723" w:rsidP="00EE3DCE">
      <w:pPr>
        <w:pStyle w:val="NoSpacing"/>
        <w:rPr>
          <w:shd w:val="clear" w:color="auto" w:fill="FFFFFF"/>
        </w:rPr>
      </w:pPr>
    </w:p>
    <w:p w14:paraId="48BB3852" w14:textId="27794144" w:rsidR="00AC54D6" w:rsidRPr="005861A5" w:rsidRDefault="005861A5" w:rsidP="005861A5">
      <w:pPr>
        <w:pStyle w:val="NoSpacing"/>
        <w:numPr>
          <w:ilvl w:val="0"/>
          <w:numId w:val="17"/>
        </w:numPr>
        <w:rPr>
          <w:shd w:val="clear" w:color="auto" w:fill="FFFFFF"/>
        </w:rPr>
      </w:pPr>
      <w:r>
        <w:rPr>
          <w:b/>
          <w:bCs/>
          <w:color w:val="000000"/>
          <w:u w:val="single"/>
        </w:rPr>
        <w:t>Annual Delivery Plan</w:t>
      </w:r>
    </w:p>
    <w:p w14:paraId="41BA361B" w14:textId="77777777" w:rsidR="00E458EC" w:rsidRDefault="00E458EC" w:rsidP="005861A5">
      <w:pPr>
        <w:pStyle w:val="NoSpacing"/>
        <w:ind w:left="720"/>
        <w:rPr>
          <w:shd w:val="clear" w:color="auto" w:fill="FFFFFF"/>
        </w:rPr>
      </w:pPr>
    </w:p>
    <w:p w14:paraId="3995ED06" w14:textId="27F77B4A" w:rsidR="00F76C43" w:rsidRDefault="00F76C43" w:rsidP="005861A5">
      <w:pPr>
        <w:pStyle w:val="NoSpacing"/>
        <w:ind w:left="720"/>
        <w:rPr>
          <w:shd w:val="clear" w:color="auto" w:fill="FFFFFF"/>
        </w:rPr>
      </w:pPr>
      <w:r>
        <w:rPr>
          <w:shd w:val="clear" w:color="auto" w:fill="FFFFFF"/>
        </w:rPr>
        <w:t xml:space="preserve">The revised Annual Delivery Plan is attached for formal approval and publication in March or April.  Some target figures are still being finalised and will be confirmed for the published version.  </w:t>
      </w:r>
    </w:p>
    <w:p w14:paraId="31849A47" w14:textId="77777777" w:rsidR="00F76C43" w:rsidRDefault="00F76C43" w:rsidP="005861A5">
      <w:pPr>
        <w:pStyle w:val="NoSpacing"/>
        <w:ind w:left="720"/>
        <w:rPr>
          <w:shd w:val="clear" w:color="auto" w:fill="FFFFFF"/>
        </w:rPr>
      </w:pPr>
    </w:p>
    <w:p w14:paraId="71C99EEC" w14:textId="01622FD1" w:rsidR="005861A5" w:rsidRDefault="00E458EC" w:rsidP="005861A5">
      <w:pPr>
        <w:pStyle w:val="NoSpacing"/>
        <w:ind w:left="720"/>
        <w:rPr>
          <w:shd w:val="clear" w:color="auto" w:fill="FFFFFF"/>
        </w:rPr>
      </w:pPr>
      <w:r>
        <w:rPr>
          <w:shd w:val="clear" w:color="auto" w:fill="FFFFFF"/>
        </w:rPr>
        <w:t>Th</w:t>
      </w:r>
      <w:r w:rsidR="00F76C43">
        <w:rPr>
          <w:shd w:val="clear" w:color="auto" w:fill="FFFFFF"/>
        </w:rPr>
        <w:t>e</w:t>
      </w:r>
      <w:r>
        <w:rPr>
          <w:shd w:val="clear" w:color="auto" w:fill="FFFFFF"/>
        </w:rPr>
        <w:t xml:space="preserve"> updated</w:t>
      </w:r>
      <w:r w:rsidR="00F76C43">
        <w:rPr>
          <w:shd w:val="clear" w:color="auto" w:fill="FFFFFF"/>
        </w:rPr>
        <w:t xml:space="preserve"> version </w:t>
      </w:r>
      <w:r>
        <w:rPr>
          <w:shd w:val="clear" w:color="auto" w:fill="FFFFFF"/>
        </w:rPr>
        <w:t xml:space="preserve">reflects comments made </w:t>
      </w:r>
      <w:r w:rsidR="00F76C43">
        <w:rPr>
          <w:shd w:val="clear" w:color="auto" w:fill="FFFFFF"/>
        </w:rPr>
        <w:t xml:space="preserve">by the Board </w:t>
      </w:r>
      <w:r>
        <w:rPr>
          <w:shd w:val="clear" w:color="auto" w:fill="FFFFFF"/>
        </w:rPr>
        <w:t>at th</w:t>
      </w:r>
      <w:r w:rsidR="00F76C43">
        <w:rPr>
          <w:shd w:val="clear" w:color="auto" w:fill="FFFFFF"/>
        </w:rPr>
        <w:t xml:space="preserve">e January </w:t>
      </w:r>
      <w:r>
        <w:rPr>
          <w:shd w:val="clear" w:color="auto" w:fill="FFFFFF"/>
        </w:rPr>
        <w:t xml:space="preserve">meeting, comments made by Local Authority stakeholders following their review, and further developments.  </w:t>
      </w:r>
    </w:p>
    <w:p w14:paraId="5FF563CB" w14:textId="1FBA8958" w:rsidR="00E458EC" w:rsidRDefault="00E458EC" w:rsidP="005861A5">
      <w:pPr>
        <w:pStyle w:val="NoSpacing"/>
        <w:ind w:left="720"/>
        <w:rPr>
          <w:shd w:val="clear" w:color="auto" w:fill="FFFFFF"/>
        </w:rPr>
      </w:pPr>
    </w:p>
    <w:p w14:paraId="46620693" w14:textId="5EFE6872" w:rsidR="00E458EC" w:rsidRDefault="00E458EC" w:rsidP="005861A5">
      <w:pPr>
        <w:pStyle w:val="NoSpacing"/>
        <w:ind w:left="720"/>
        <w:rPr>
          <w:shd w:val="clear" w:color="auto" w:fill="FFFFFF"/>
        </w:rPr>
      </w:pPr>
      <w:r>
        <w:rPr>
          <w:shd w:val="clear" w:color="auto" w:fill="FFFFFF"/>
        </w:rPr>
        <w:t xml:space="preserve">Discussions are ongoing with respect to how Sustainability and Inclusivity should best be reflected in the Delivery Plans for each of the sub-regional organisations.   As a LEP we can influence industrial and commercial de-carbonisation but have less scope to affect residential emissions.  </w:t>
      </w:r>
    </w:p>
    <w:p w14:paraId="18E6EB8E" w14:textId="77777777" w:rsidR="00E458EC" w:rsidRPr="00453677" w:rsidRDefault="00E458EC" w:rsidP="005861A5">
      <w:pPr>
        <w:pStyle w:val="NoSpacing"/>
        <w:ind w:left="720"/>
        <w:rPr>
          <w:shd w:val="clear" w:color="auto" w:fill="FFFFFF"/>
        </w:rPr>
      </w:pPr>
    </w:p>
    <w:p w14:paraId="702E14BA" w14:textId="3FC93BAB" w:rsidR="008800B4" w:rsidRPr="005861A5" w:rsidRDefault="005861A5" w:rsidP="005861A5">
      <w:pPr>
        <w:pStyle w:val="ListParagraph"/>
        <w:numPr>
          <w:ilvl w:val="0"/>
          <w:numId w:val="17"/>
        </w:numPr>
        <w:rPr>
          <w:b/>
          <w:bCs/>
        </w:rPr>
      </w:pPr>
      <w:r>
        <w:rPr>
          <w:b/>
          <w:bCs/>
          <w:u w:val="single"/>
        </w:rPr>
        <w:t>Annual Budget 2020-21</w:t>
      </w:r>
    </w:p>
    <w:p w14:paraId="0624487D" w14:textId="77777777" w:rsidR="00296D70" w:rsidRPr="00296D70" w:rsidRDefault="00296D70" w:rsidP="00E458EC">
      <w:pPr>
        <w:spacing w:after="0" w:line="240" w:lineRule="auto"/>
        <w:ind w:left="720"/>
        <w:rPr>
          <w:rFonts w:eastAsia="Times New Roman"/>
          <w:color w:val="000000"/>
          <w:u w:val="single"/>
        </w:rPr>
      </w:pPr>
      <w:r w:rsidRPr="00296D70">
        <w:rPr>
          <w:rFonts w:eastAsia="Times New Roman"/>
          <w:color w:val="000000"/>
          <w:u w:val="single"/>
        </w:rPr>
        <w:t>The LEP Company</w:t>
      </w:r>
    </w:p>
    <w:p w14:paraId="74A4D7C8" w14:textId="77777777" w:rsidR="00296D70" w:rsidRDefault="00296D70" w:rsidP="00E458EC">
      <w:pPr>
        <w:spacing w:after="0" w:line="240" w:lineRule="auto"/>
        <w:ind w:left="720"/>
        <w:rPr>
          <w:rFonts w:eastAsia="Times New Roman"/>
          <w:color w:val="000000"/>
        </w:rPr>
      </w:pPr>
    </w:p>
    <w:p w14:paraId="6D524009" w14:textId="38FD9E0B" w:rsidR="00F76C43" w:rsidRDefault="00C421C4" w:rsidP="00E458EC">
      <w:pPr>
        <w:spacing w:after="0" w:line="240" w:lineRule="auto"/>
        <w:ind w:left="720"/>
        <w:rPr>
          <w:rFonts w:eastAsia="Times New Roman"/>
          <w:color w:val="000000"/>
        </w:rPr>
      </w:pPr>
      <w:r>
        <w:rPr>
          <w:rFonts w:eastAsia="Times New Roman"/>
          <w:color w:val="000000"/>
        </w:rPr>
        <w:t>An updated version of the</w:t>
      </w:r>
      <w:r w:rsidR="00F76C43">
        <w:rPr>
          <w:rFonts w:eastAsia="Times New Roman"/>
          <w:color w:val="000000"/>
        </w:rPr>
        <w:t xml:space="preserve"> January discussion paper is attached for reference and formal Budget approval. </w:t>
      </w:r>
    </w:p>
    <w:p w14:paraId="5A8000D4" w14:textId="77777777" w:rsidR="00F76C43" w:rsidRDefault="00F76C43" w:rsidP="00E458EC">
      <w:pPr>
        <w:spacing w:after="0" w:line="240" w:lineRule="auto"/>
        <w:ind w:left="720"/>
        <w:rPr>
          <w:rFonts w:eastAsia="Times New Roman"/>
          <w:color w:val="000000"/>
        </w:rPr>
      </w:pPr>
    </w:p>
    <w:p w14:paraId="14FF6EA7" w14:textId="4E439493" w:rsidR="005324D3" w:rsidRDefault="00E458EC" w:rsidP="005324D3">
      <w:pPr>
        <w:spacing w:after="0" w:line="240" w:lineRule="auto"/>
        <w:ind w:left="720"/>
        <w:rPr>
          <w:rFonts w:eastAsia="Times New Roman"/>
          <w:color w:val="000000"/>
        </w:rPr>
      </w:pPr>
      <w:r w:rsidRPr="00E458EC">
        <w:rPr>
          <w:rFonts w:eastAsia="Times New Roman"/>
          <w:color w:val="000000"/>
        </w:rPr>
        <w:t xml:space="preserve">Since </w:t>
      </w:r>
      <w:r>
        <w:rPr>
          <w:rFonts w:eastAsia="Times New Roman"/>
          <w:color w:val="000000"/>
        </w:rPr>
        <w:t>preparing the draft budget, we have received confirmation of our core funding</w:t>
      </w:r>
      <w:r w:rsidR="008B258A">
        <w:rPr>
          <w:rFonts w:eastAsia="Times New Roman"/>
          <w:color w:val="000000"/>
        </w:rPr>
        <w:t xml:space="preserve"> of £500k</w:t>
      </w:r>
      <w:r>
        <w:rPr>
          <w:rFonts w:eastAsia="Times New Roman"/>
          <w:color w:val="000000"/>
        </w:rPr>
        <w:t xml:space="preserve"> from BEIS and MHCLG. </w:t>
      </w:r>
      <w:r w:rsidR="008B258A">
        <w:rPr>
          <w:rFonts w:eastAsia="Times New Roman"/>
          <w:color w:val="000000"/>
        </w:rPr>
        <w:t xml:space="preserve"> </w:t>
      </w:r>
      <w:proofErr w:type="gramStart"/>
      <w:r w:rsidR="008B258A">
        <w:rPr>
          <w:rFonts w:eastAsia="Times New Roman"/>
          <w:color w:val="000000"/>
        </w:rPr>
        <w:t>In order to</w:t>
      </w:r>
      <w:proofErr w:type="gramEnd"/>
      <w:r w:rsidR="008B258A">
        <w:rPr>
          <w:rFonts w:eastAsia="Times New Roman"/>
          <w:color w:val="000000"/>
        </w:rPr>
        <w:t xml:space="preserve"> receive the core funding Local Authorities are required to provide, as in previous years, a £250k match.  </w:t>
      </w:r>
      <w:r w:rsidR="00296D70">
        <w:rPr>
          <w:rFonts w:eastAsia="Times New Roman"/>
          <w:color w:val="000000"/>
        </w:rPr>
        <w:t xml:space="preserve">This is achieved by a £41.6k subscription from each authority and £125k match from the EZ retained business rates.  </w:t>
      </w:r>
      <w:r w:rsidR="005324D3">
        <w:rPr>
          <w:rFonts w:eastAsia="Times New Roman"/>
          <w:color w:val="000000"/>
        </w:rPr>
        <w:t xml:space="preserve">We have also received confirmation of previously assumed funding for our Growth Hub and some of our Skills activities.  </w:t>
      </w:r>
    </w:p>
    <w:p w14:paraId="44C1378A" w14:textId="437C71D0" w:rsidR="00C421C4" w:rsidRDefault="00C421C4" w:rsidP="005324D3">
      <w:pPr>
        <w:spacing w:after="0" w:line="240" w:lineRule="auto"/>
        <w:ind w:left="720"/>
        <w:rPr>
          <w:rFonts w:eastAsia="Times New Roman"/>
          <w:color w:val="000000"/>
        </w:rPr>
      </w:pPr>
    </w:p>
    <w:p w14:paraId="182719BF" w14:textId="6B6070E5" w:rsidR="00C421C4" w:rsidRDefault="00C421C4" w:rsidP="005324D3">
      <w:pPr>
        <w:spacing w:after="0" w:line="240" w:lineRule="auto"/>
        <w:ind w:left="720"/>
        <w:rPr>
          <w:rFonts w:eastAsia="Times New Roman"/>
          <w:color w:val="000000"/>
        </w:rPr>
      </w:pPr>
      <w:r>
        <w:rPr>
          <w:rFonts w:eastAsia="Times New Roman"/>
          <w:color w:val="000000"/>
        </w:rPr>
        <w:t xml:space="preserve">There is only one noteworthy amendment </w:t>
      </w:r>
      <w:r w:rsidR="00296D70">
        <w:rPr>
          <w:rFonts w:eastAsia="Times New Roman"/>
          <w:color w:val="000000"/>
        </w:rPr>
        <w:t xml:space="preserve">to the paper discussed in January, </w:t>
      </w:r>
      <w:r>
        <w:rPr>
          <w:rFonts w:eastAsia="Times New Roman"/>
          <w:color w:val="000000"/>
        </w:rPr>
        <w:t>which pertains to the timing of drawing down the EZ Loan</w:t>
      </w:r>
      <w:r w:rsidR="00296D70">
        <w:rPr>
          <w:rFonts w:eastAsia="Times New Roman"/>
          <w:color w:val="000000"/>
        </w:rPr>
        <w:t>. This</w:t>
      </w:r>
      <w:r>
        <w:rPr>
          <w:rFonts w:eastAsia="Times New Roman"/>
          <w:color w:val="000000"/>
        </w:rPr>
        <w:t xml:space="preserve"> has been postponed from 1/2/2020 to </w:t>
      </w:r>
      <w:r>
        <w:rPr>
          <w:rFonts w:eastAsia="Times New Roman"/>
          <w:color w:val="000000"/>
        </w:rPr>
        <w:lastRenderedPageBreak/>
        <w:t>1/4/2020</w:t>
      </w:r>
      <w:r w:rsidR="00296D70">
        <w:rPr>
          <w:rFonts w:eastAsia="Times New Roman"/>
          <w:color w:val="000000"/>
        </w:rPr>
        <w:t xml:space="preserve"> and which</w:t>
      </w:r>
      <w:r>
        <w:rPr>
          <w:rFonts w:eastAsia="Times New Roman"/>
          <w:color w:val="000000"/>
        </w:rPr>
        <w:t xml:space="preserve"> removes any interest charge in 2019/20, increasing the opening reserves of the </w:t>
      </w:r>
      <w:r w:rsidR="00243E0B">
        <w:rPr>
          <w:rFonts w:eastAsia="Times New Roman"/>
          <w:color w:val="000000"/>
        </w:rPr>
        <w:t xml:space="preserve">LEP and the </w:t>
      </w:r>
      <w:r>
        <w:rPr>
          <w:rFonts w:eastAsia="Times New Roman"/>
          <w:color w:val="000000"/>
        </w:rPr>
        <w:t xml:space="preserve">EZ fund </w:t>
      </w:r>
      <w:r w:rsidR="00243E0B">
        <w:rPr>
          <w:rFonts w:eastAsia="Times New Roman"/>
          <w:color w:val="000000"/>
        </w:rPr>
        <w:t>by</w:t>
      </w:r>
      <w:r>
        <w:rPr>
          <w:rFonts w:eastAsia="Times New Roman"/>
          <w:color w:val="000000"/>
        </w:rPr>
        <w:t xml:space="preserve"> £80k</w:t>
      </w:r>
      <w:r w:rsidR="00243E0B">
        <w:rPr>
          <w:rFonts w:eastAsia="Times New Roman"/>
          <w:color w:val="000000"/>
        </w:rPr>
        <w:t xml:space="preserve">. </w:t>
      </w:r>
      <w:r>
        <w:rPr>
          <w:rFonts w:eastAsia="Times New Roman"/>
          <w:color w:val="000000"/>
        </w:rPr>
        <w:t xml:space="preserve"> </w:t>
      </w:r>
    </w:p>
    <w:p w14:paraId="51543A95" w14:textId="04C27DEB" w:rsidR="00124185" w:rsidRDefault="00124185" w:rsidP="00E458EC">
      <w:pPr>
        <w:spacing w:after="0" w:line="240" w:lineRule="auto"/>
        <w:ind w:left="720"/>
        <w:rPr>
          <w:rFonts w:eastAsia="Times New Roman"/>
          <w:color w:val="000000"/>
        </w:rPr>
      </w:pPr>
    </w:p>
    <w:p w14:paraId="687F94DC" w14:textId="56E5131D" w:rsidR="00243E0B" w:rsidRDefault="00243E0B" w:rsidP="00E458EC">
      <w:pPr>
        <w:spacing w:after="0" w:line="240" w:lineRule="auto"/>
        <w:ind w:left="720"/>
        <w:rPr>
          <w:rFonts w:eastAsia="Times New Roman"/>
          <w:color w:val="000000"/>
        </w:rPr>
      </w:pPr>
      <w:r>
        <w:rPr>
          <w:rFonts w:eastAsia="Times New Roman"/>
          <w:color w:val="000000"/>
        </w:rPr>
        <w:t>In all other respects, t</w:t>
      </w:r>
      <w:r w:rsidR="00C421C4">
        <w:rPr>
          <w:rFonts w:eastAsia="Times New Roman"/>
          <w:color w:val="000000"/>
        </w:rPr>
        <w:t xml:space="preserve">he draft budget is as prepared in January and previously examined in detail by the Finance and Audit Committee in December.  </w:t>
      </w:r>
    </w:p>
    <w:p w14:paraId="740FBFCC" w14:textId="72F71C9F" w:rsidR="00243E0B" w:rsidRDefault="00243E0B" w:rsidP="00E458EC">
      <w:pPr>
        <w:spacing w:after="0" w:line="240" w:lineRule="auto"/>
        <w:ind w:left="720"/>
        <w:rPr>
          <w:rFonts w:eastAsia="Times New Roman"/>
          <w:color w:val="000000"/>
        </w:rPr>
      </w:pPr>
    </w:p>
    <w:p w14:paraId="0D120177" w14:textId="7F59BB3D" w:rsidR="00296D70" w:rsidRPr="00296D70" w:rsidRDefault="00296D70" w:rsidP="00E458EC">
      <w:pPr>
        <w:spacing w:after="0" w:line="240" w:lineRule="auto"/>
        <w:ind w:left="720"/>
        <w:rPr>
          <w:rFonts w:eastAsia="Times New Roman"/>
          <w:color w:val="000000"/>
          <w:u w:val="single"/>
        </w:rPr>
      </w:pPr>
      <w:r w:rsidRPr="00296D70">
        <w:rPr>
          <w:rFonts w:eastAsia="Times New Roman"/>
          <w:color w:val="000000"/>
          <w:u w:val="single"/>
        </w:rPr>
        <w:t>The LEP “Enterprise”</w:t>
      </w:r>
    </w:p>
    <w:p w14:paraId="30710EF1" w14:textId="77777777" w:rsidR="00296D70" w:rsidRDefault="00296D70" w:rsidP="00E458EC">
      <w:pPr>
        <w:spacing w:after="0" w:line="240" w:lineRule="auto"/>
        <w:ind w:left="720"/>
        <w:rPr>
          <w:rFonts w:eastAsia="Times New Roman"/>
          <w:color w:val="000000"/>
        </w:rPr>
      </w:pPr>
    </w:p>
    <w:p w14:paraId="476E5326" w14:textId="017EAF17" w:rsidR="00DB5EA9" w:rsidRDefault="00DB0AA3" w:rsidP="00E458EC">
      <w:pPr>
        <w:spacing w:after="0" w:line="240" w:lineRule="auto"/>
        <w:ind w:left="720"/>
        <w:rPr>
          <w:rFonts w:eastAsia="Times New Roman"/>
          <w:color w:val="000000"/>
        </w:rPr>
      </w:pPr>
      <w:r>
        <w:rPr>
          <w:rFonts w:eastAsia="Times New Roman"/>
          <w:color w:val="000000"/>
        </w:rPr>
        <w:t>In addition to the</w:t>
      </w:r>
      <w:r w:rsidR="00261567">
        <w:rPr>
          <w:rFonts w:eastAsia="Times New Roman"/>
          <w:color w:val="000000"/>
        </w:rPr>
        <w:t xml:space="preserve"> limited company</w:t>
      </w:r>
      <w:r>
        <w:rPr>
          <w:rFonts w:eastAsia="Times New Roman"/>
          <w:color w:val="000000"/>
        </w:rPr>
        <w:t xml:space="preserve"> budget</w:t>
      </w:r>
      <w:r w:rsidR="00124185">
        <w:rPr>
          <w:rFonts w:eastAsia="Times New Roman"/>
          <w:color w:val="000000"/>
        </w:rPr>
        <w:t xml:space="preserve">, there are several funds managed </w:t>
      </w:r>
      <w:r>
        <w:rPr>
          <w:rFonts w:eastAsia="Times New Roman"/>
          <w:color w:val="000000"/>
        </w:rPr>
        <w:t xml:space="preserve">through partners of </w:t>
      </w:r>
      <w:r w:rsidR="00124185">
        <w:rPr>
          <w:rFonts w:eastAsia="Times New Roman"/>
          <w:color w:val="000000"/>
        </w:rPr>
        <w:t>the LEP</w:t>
      </w:r>
      <w:r w:rsidR="00DB5EA9">
        <w:rPr>
          <w:rFonts w:eastAsia="Times New Roman"/>
          <w:color w:val="000000"/>
        </w:rPr>
        <w:t>.</w:t>
      </w:r>
      <w:r>
        <w:rPr>
          <w:rFonts w:eastAsia="Times New Roman"/>
          <w:color w:val="000000"/>
        </w:rPr>
        <w:t xml:space="preserve">  </w:t>
      </w:r>
      <w:r w:rsidR="008B258A">
        <w:rPr>
          <w:rFonts w:eastAsia="Times New Roman"/>
          <w:color w:val="000000"/>
        </w:rPr>
        <w:t>T</w:t>
      </w:r>
      <w:r>
        <w:rPr>
          <w:rFonts w:eastAsia="Times New Roman"/>
          <w:color w:val="000000"/>
        </w:rPr>
        <w:t xml:space="preserve">hese represent the LEP’s </w:t>
      </w:r>
      <w:r w:rsidR="008B258A">
        <w:rPr>
          <w:rFonts w:eastAsia="Times New Roman"/>
          <w:color w:val="000000"/>
        </w:rPr>
        <w:t>“</w:t>
      </w:r>
      <w:r>
        <w:rPr>
          <w:rFonts w:eastAsia="Times New Roman"/>
          <w:color w:val="000000"/>
        </w:rPr>
        <w:t>investment</w:t>
      </w:r>
      <w:r w:rsidR="008B258A">
        <w:rPr>
          <w:rFonts w:eastAsia="Times New Roman"/>
          <w:color w:val="000000"/>
        </w:rPr>
        <w:t>”</w:t>
      </w:r>
      <w:r>
        <w:rPr>
          <w:rFonts w:eastAsia="Times New Roman"/>
          <w:color w:val="000000"/>
        </w:rPr>
        <w:t xml:space="preserve"> budget.  </w:t>
      </w:r>
    </w:p>
    <w:p w14:paraId="26DD5BF4" w14:textId="77777777" w:rsidR="00DB5EA9" w:rsidRDefault="00DB5EA9" w:rsidP="00E458EC">
      <w:pPr>
        <w:spacing w:after="0" w:line="240" w:lineRule="auto"/>
        <w:ind w:left="720"/>
        <w:rPr>
          <w:rFonts w:eastAsia="Times New Roman"/>
          <w:color w:val="000000"/>
        </w:rPr>
      </w:pPr>
    </w:p>
    <w:p w14:paraId="228026C3" w14:textId="16C64772" w:rsidR="00DB5EA9" w:rsidRDefault="00124185" w:rsidP="00E458EC">
      <w:pPr>
        <w:spacing w:after="0" w:line="240" w:lineRule="auto"/>
        <w:ind w:left="720"/>
        <w:rPr>
          <w:rFonts w:eastAsia="Times New Roman"/>
          <w:color w:val="000000"/>
        </w:rPr>
      </w:pPr>
      <w:r>
        <w:rPr>
          <w:rFonts w:eastAsia="Times New Roman"/>
          <w:color w:val="000000"/>
        </w:rPr>
        <w:t>The allocation of the Local Growth Fund for 2020-21 is approximately £25M</w:t>
      </w:r>
      <w:r w:rsidR="00DB5EA9">
        <w:rPr>
          <w:rFonts w:eastAsia="Times New Roman"/>
          <w:color w:val="000000"/>
        </w:rPr>
        <w:t xml:space="preserve">, which will be invested through the year. </w:t>
      </w:r>
      <w:r>
        <w:rPr>
          <w:rFonts w:eastAsia="Times New Roman"/>
          <w:color w:val="000000"/>
        </w:rPr>
        <w:t xml:space="preserve">  </w:t>
      </w:r>
      <w:r w:rsidR="00DB5EA9">
        <w:rPr>
          <w:rFonts w:eastAsia="Times New Roman"/>
          <w:color w:val="000000"/>
        </w:rPr>
        <w:t xml:space="preserve">As this is the final year of the LGF, the pipeline of projects is largely </w:t>
      </w:r>
      <w:proofErr w:type="gramStart"/>
      <w:r w:rsidR="00DB5EA9">
        <w:rPr>
          <w:rFonts w:eastAsia="Times New Roman"/>
          <w:color w:val="000000"/>
        </w:rPr>
        <w:t>complete</w:t>
      </w:r>
      <w:proofErr w:type="gramEnd"/>
      <w:r w:rsidR="00DB5EA9">
        <w:rPr>
          <w:rFonts w:eastAsia="Times New Roman"/>
          <w:color w:val="000000"/>
        </w:rPr>
        <w:t xml:space="preserve"> and we expect claims from those projects throughout the year.   </w:t>
      </w:r>
      <w:r w:rsidR="00DB0AA3">
        <w:rPr>
          <w:rFonts w:eastAsia="Times New Roman"/>
          <w:color w:val="000000"/>
        </w:rPr>
        <w:t>Th</w:t>
      </w:r>
      <w:r w:rsidR="00DB5EA9">
        <w:rPr>
          <w:rFonts w:eastAsia="Times New Roman"/>
          <w:color w:val="000000"/>
        </w:rPr>
        <w:t>e</w:t>
      </w:r>
      <w:r w:rsidR="00DB0AA3">
        <w:rPr>
          <w:rFonts w:eastAsia="Times New Roman"/>
          <w:color w:val="000000"/>
        </w:rPr>
        <w:t xml:space="preserve"> key </w:t>
      </w:r>
      <w:r w:rsidR="00DB5EA9">
        <w:rPr>
          <w:rFonts w:eastAsia="Times New Roman"/>
          <w:color w:val="000000"/>
        </w:rPr>
        <w:t>risks to achieving full expenditure</w:t>
      </w:r>
      <w:r w:rsidR="00DB0AA3">
        <w:rPr>
          <w:rFonts w:eastAsia="Times New Roman"/>
          <w:color w:val="000000"/>
        </w:rPr>
        <w:t xml:space="preserve"> </w:t>
      </w:r>
      <w:r w:rsidR="00DB5EA9">
        <w:rPr>
          <w:rFonts w:eastAsia="Times New Roman"/>
          <w:color w:val="000000"/>
        </w:rPr>
        <w:t>are slippage to delivery or, in the case of some recently approved Energy Sector offers, applicants failing to secure the total funding requirement</w:t>
      </w:r>
      <w:r w:rsidR="00DB0AA3">
        <w:rPr>
          <w:rFonts w:eastAsia="Times New Roman"/>
          <w:color w:val="000000"/>
        </w:rPr>
        <w:t>.  This will require us to find and fund new projects which spend by March 2021.</w:t>
      </w:r>
    </w:p>
    <w:p w14:paraId="7B9BE493" w14:textId="77777777" w:rsidR="00DB5EA9" w:rsidRDefault="00DB5EA9" w:rsidP="00E458EC">
      <w:pPr>
        <w:spacing w:after="0" w:line="240" w:lineRule="auto"/>
        <w:ind w:left="720"/>
        <w:rPr>
          <w:rFonts w:eastAsia="Times New Roman"/>
          <w:color w:val="000000"/>
        </w:rPr>
      </w:pPr>
    </w:p>
    <w:p w14:paraId="6264F3CF" w14:textId="6EFB2FDA" w:rsidR="00DB5EA9" w:rsidRDefault="00124185" w:rsidP="00DB5EA9">
      <w:pPr>
        <w:spacing w:after="0" w:line="240" w:lineRule="auto"/>
        <w:ind w:left="720"/>
        <w:rPr>
          <w:rFonts w:eastAsia="Times New Roman"/>
          <w:color w:val="000000"/>
        </w:rPr>
      </w:pPr>
      <w:r>
        <w:rPr>
          <w:rFonts w:eastAsia="Times New Roman"/>
          <w:color w:val="000000"/>
        </w:rPr>
        <w:t>The Growing Places Fund has been fully allocated during 2019-20.  However, in 2020-21 we anticipate</w:t>
      </w:r>
      <w:r w:rsidR="00333FB8">
        <w:rPr>
          <w:rFonts w:eastAsia="Times New Roman"/>
          <w:color w:val="000000"/>
        </w:rPr>
        <w:t xml:space="preserve"> </w:t>
      </w:r>
      <w:r>
        <w:rPr>
          <w:rFonts w:eastAsia="Times New Roman"/>
          <w:color w:val="000000"/>
        </w:rPr>
        <w:t>repayment</w:t>
      </w:r>
      <w:r w:rsidR="00333FB8">
        <w:rPr>
          <w:rFonts w:eastAsia="Times New Roman"/>
          <w:color w:val="000000"/>
        </w:rPr>
        <w:t xml:space="preserve"> instalments</w:t>
      </w:r>
      <w:r>
        <w:rPr>
          <w:rFonts w:eastAsia="Times New Roman"/>
          <w:color w:val="000000"/>
        </w:rPr>
        <w:t xml:space="preserve"> </w:t>
      </w:r>
      <w:r w:rsidR="00333FB8">
        <w:rPr>
          <w:rFonts w:eastAsia="Times New Roman"/>
          <w:color w:val="000000"/>
        </w:rPr>
        <w:t>of the loan made to</w:t>
      </w:r>
      <w:r>
        <w:rPr>
          <w:rFonts w:eastAsia="Times New Roman"/>
          <w:color w:val="000000"/>
        </w:rPr>
        <w:t xml:space="preserve"> Cheshire Green Industrial </w:t>
      </w:r>
      <w:r w:rsidR="00333FB8">
        <w:rPr>
          <w:rFonts w:eastAsia="Times New Roman"/>
          <w:color w:val="000000"/>
        </w:rPr>
        <w:t>Park</w:t>
      </w:r>
      <w:r w:rsidR="00DB0AA3">
        <w:rPr>
          <w:rFonts w:eastAsia="Times New Roman"/>
          <w:color w:val="000000"/>
        </w:rPr>
        <w:t xml:space="preserve"> as and when plot disposals complete.  In addition, </w:t>
      </w:r>
      <w:r w:rsidR="00DB5EA9">
        <w:rPr>
          <w:rFonts w:eastAsia="Times New Roman"/>
          <w:color w:val="000000"/>
        </w:rPr>
        <w:t xml:space="preserve">if there are further GPF projects, we </w:t>
      </w:r>
      <w:r w:rsidR="00333FB8">
        <w:rPr>
          <w:rFonts w:eastAsia="Times New Roman"/>
          <w:color w:val="000000"/>
        </w:rPr>
        <w:t xml:space="preserve">will </w:t>
      </w:r>
      <w:r w:rsidR="00DB5EA9">
        <w:rPr>
          <w:rFonts w:eastAsia="Times New Roman"/>
          <w:color w:val="000000"/>
        </w:rPr>
        <w:t xml:space="preserve">have the option to </w:t>
      </w:r>
      <w:r w:rsidR="00333FB8">
        <w:rPr>
          <w:rFonts w:eastAsia="Times New Roman"/>
          <w:color w:val="000000"/>
        </w:rPr>
        <w:t xml:space="preserve">reimburse GPF </w:t>
      </w:r>
      <w:r w:rsidR="00DB5EA9">
        <w:rPr>
          <w:rFonts w:eastAsia="Times New Roman"/>
          <w:color w:val="000000"/>
        </w:rPr>
        <w:t xml:space="preserve">from the EZ loan </w:t>
      </w:r>
      <w:r w:rsidR="00333FB8">
        <w:rPr>
          <w:rFonts w:eastAsia="Times New Roman"/>
          <w:color w:val="000000"/>
        </w:rPr>
        <w:t>for its interim investments in e.g. Glasshouse</w:t>
      </w:r>
      <w:r w:rsidR="00DB5EA9">
        <w:rPr>
          <w:rFonts w:eastAsia="Times New Roman"/>
          <w:color w:val="000000"/>
        </w:rPr>
        <w:t xml:space="preserve">, Rhino Newport, and Aviator Phase 1.  </w:t>
      </w:r>
      <w:r w:rsidR="00333FB8">
        <w:rPr>
          <w:rFonts w:eastAsia="Times New Roman"/>
          <w:color w:val="000000"/>
        </w:rPr>
        <w:t>This should release £5-10M for re-investment in</w:t>
      </w:r>
      <w:r w:rsidR="00A16508">
        <w:rPr>
          <w:rFonts w:eastAsia="Times New Roman"/>
          <w:color w:val="000000"/>
        </w:rPr>
        <w:t>to</w:t>
      </w:r>
      <w:r w:rsidR="00333FB8">
        <w:rPr>
          <w:rFonts w:eastAsia="Times New Roman"/>
          <w:color w:val="000000"/>
        </w:rPr>
        <w:t xml:space="preserve"> new</w:t>
      </w:r>
      <w:r w:rsidR="00A16508">
        <w:rPr>
          <w:rFonts w:eastAsia="Times New Roman"/>
          <w:color w:val="000000"/>
        </w:rPr>
        <w:t xml:space="preserve"> </w:t>
      </w:r>
      <w:r w:rsidR="00333FB8">
        <w:rPr>
          <w:rFonts w:eastAsia="Times New Roman"/>
          <w:color w:val="000000"/>
        </w:rPr>
        <w:t xml:space="preserve">projects.  </w:t>
      </w:r>
    </w:p>
    <w:p w14:paraId="1520A405" w14:textId="77777777" w:rsidR="00DB5EA9" w:rsidRDefault="00DB5EA9" w:rsidP="00DB5EA9">
      <w:pPr>
        <w:spacing w:after="0" w:line="240" w:lineRule="auto"/>
        <w:ind w:left="720"/>
        <w:rPr>
          <w:rFonts w:eastAsia="Times New Roman"/>
          <w:color w:val="000000"/>
        </w:rPr>
      </w:pPr>
    </w:p>
    <w:p w14:paraId="34655C2A" w14:textId="06DE0C36" w:rsidR="00124185" w:rsidRDefault="00333FB8" w:rsidP="00DB5EA9">
      <w:pPr>
        <w:spacing w:after="0" w:line="240" w:lineRule="auto"/>
        <w:ind w:left="720"/>
        <w:rPr>
          <w:rFonts w:eastAsia="Times New Roman"/>
          <w:color w:val="000000"/>
        </w:rPr>
      </w:pPr>
      <w:r>
        <w:rPr>
          <w:rFonts w:eastAsia="Times New Roman"/>
          <w:color w:val="000000"/>
        </w:rPr>
        <w:t xml:space="preserve">The pipeline for EZ investments </w:t>
      </w:r>
      <w:r w:rsidR="00A16508">
        <w:rPr>
          <w:rFonts w:eastAsia="Times New Roman"/>
          <w:color w:val="000000"/>
        </w:rPr>
        <w:t>is such that we estimate drawdown of £20-£25M of the EZ loan facility by March 2021</w:t>
      </w:r>
      <w:r w:rsidR="00296D70">
        <w:rPr>
          <w:rFonts w:eastAsia="Times New Roman"/>
          <w:color w:val="000000"/>
        </w:rPr>
        <w:t xml:space="preserve"> (the budget assumption is £22M). </w:t>
      </w:r>
    </w:p>
    <w:p w14:paraId="6AFDF340" w14:textId="2B69C32E" w:rsidR="00A16508" w:rsidRDefault="00A16508" w:rsidP="00DB5EA9">
      <w:pPr>
        <w:spacing w:after="0" w:line="240" w:lineRule="auto"/>
        <w:ind w:left="720"/>
        <w:rPr>
          <w:rFonts w:eastAsia="Times New Roman"/>
          <w:color w:val="000000"/>
        </w:rPr>
      </w:pPr>
    </w:p>
    <w:p w14:paraId="137188F7" w14:textId="0D17A41F" w:rsidR="00A16508" w:rsidRDefault="00A16508" w:rsidP="00DB5EA9">
      <w:pPr>
        <w:spacing w:after="0" w:line="240" w:lineRule="auto"/>
        <w:ind w:left="720"/>
        <w:rPr>
          <w:rFonts w:eastAsia="Times New Roman"/>
          <w:color w:val="000000"/>
        </w:rPr>
      </w:pPr>
      <w:r>
        <w:rPr>
          <w:rFonts w:eastAsia="Times New Roman"/>
          <w:color w:val="000000"/>
        </w:rPr>
        <w:t>The Evergreen Fund will launch in March 2020 and has £20M</w:t>
      </w:r>
      <w:r w:rsidR="00DB0AA3" w:rsidRPr="00DB0AA3">
        <w:rPr>
          <w:rFonts w:eastAsia="Times New Roman"/>
          <w:color w:val="000000"/>
        </w:rPr>
        <w:t xml:space="preserve"> </w:t>
      </w:r>
      <w:r w:rsidR="00DB0AA3">
        <w:rPr>
          <w:rFonts w:eastAsia="Times New Roman"/>
          <w:color w:val="000000"/>
        </w:rPr>
        <w:t>available</w:t>
      </w:r>
      <w:r>
        <w:rPr>
          <w:rFonts w:eastAsia="Times New Roman"/>
          <w:color w:val="000000"/>
        </w:rPr>
        <w:t xml:space="preserve">. </w:t>
      </w:r>
      <w:r w:rsidR="00DB0AA3">
        <w:rPr>
          <w:rFonts w:eastAsia="Times New Roman"/>
          <w:color w:val="000000"/>
        </w:rPr>
        <w:t xml:space="preserve"> It is due to be invested over the next 3 years.  </w:t>
      </w:r>
      <w:r>
        <w:rPr>
          <w:rFonts w:eastAsia="Times New Roman"/>
          <w:color w:val="000000"/>
        </w:rPr>
        <w:t xml:space="preserve"> </w:t>
      </w:r>
    </w:p>
    <w:p w14:paraId="6EBCA0D7" w14:textId="55734892" w:rsidR="00DB0AA3" w:rsidRDefault="00DB0AA3" w:rsidP="00DB5EA9">
      <w:pPr>
        <w:spacing w:after="0" w:line="240" w:lineRule="auto"/>
        <w:ind w:left="720"/>
        <w:rPr>
          <w:rFonts w:eastAsia="Times New Roman"/>
          <w:color w:val="000000"/>
        </w:rPr>
      </w:pPr>
    </w:p>
    <w:p w14:paraId="42B3FB9B" w14:textId="77777777" w:rsidR="00DB0AA3" w:rsidRPr="00E458EC" w:rsidRDefault="00DB0AA3" w:rsidP="00DB5EA9">
      <w:pPr>
        <w:spacing w:after="0" w:line="240" w:lineRule="auto"/>
        <w:ind w:left="720"/>
        <w:rPr>
          <w:rFonts w:eastAsia="Times New Roman"/>
          <w:color w:val="000000"/>
        </w:rPr>
      </w:pPr>
    </w:p>
    <w:p w14:paraId="54199233" w14:textId="77777777" w:rsidR="007E7AC4" w:rsidRDefault="007E7AC4" w:rsidP="007700BA">
      <w:pPr>
        <w:spacing w:after="0" w:line="240" w:lineRule="auto"/>
        <w:rPr>
          <w:rFonts w:eastAsia="Times New Roman"/>
          <w:b/>
          <w:bCs/>
          <w:color w:val="000000"/>
          <w:u w:val="single"/>
        </w:rPr>
      </w:pPr>
    </w:p>
    <w:p w14:paraId="6B33F767" w14:textId="77777777" w:rsidR="00A61327" w:rsidRDefault="00A61327" w:rsidP="00A61327">
      <w:pPr>
        <w:jc w:val="both"/>
        <w:rPr>
          <w:b/>
        </w:rPr>
      </w:pPr>
      <w:r>
        <w:rPr>
          <w:b/>
        </w:rPr>
        <w:t xml:space="preserve">Ian Brooks, Finance and Commercial Director </w:t>
      </w:r>
    </w:p>
    <w:p w14:paraId="0E0E32C0" w14:textId="4658732D" w:rsidR="001E663F" w:rsidRDefault="00A61327" w:rsidP="002346A6">
      <w:pPr>
        <w:jc w:val="both"/>
        <w:rPr>
          <w:rFonts w:eastAsia="Times New Roman"/>
          <w:b/>
          <w:bCs/>
          <w:color w:val="000000"/>
          <w:u w:val="single"/>
        </w:rPr>
      </w:pPr>
      <w:r>
        <w:rPr>
          <w:b/>
        </w:rPr>
        <w:t>February 2020</w:t>
      </w:r>
    </w:p>
    <w:sectPr w:rsidR="001E6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3170"/>
    <w:multiLevelType w:val="hybridMultilevel"/>
    <w:tmpl w:val="A15CCDD2"/>
    <w:styleLink w:val="Bullet"/>
    <w:lvl w:ilvl="0" w:tplc="9644178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D8E159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4727C8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62425B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73438C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F3427E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D48A4B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180E83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3BCBE9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86955F4"/>
    <w:multiLevelType w:val="hybridMultilevel"/>
    <w:tmpl w:val="76E840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E08788C"/>
    <w:multiLevelType w:val="hybridMultilevel"/>
    <w:tmpl w:val="A7DC0D44"/>
    <w:lvl w:ilvl="0" w:tplc="4262346A">
      <w:start w:val="1"/>
      <w:numFmt w:val="decimal"/>
      <w:lvlText w:val="%1."/>
      <w:lvlJc w:val="left"/>
      <w:pPr>
        <w:ind w:left="720" w:hanging="360"/>
      </w:pPr>
    </w:lvl>
    <w:lvl w:ilvl="1" w:tplc="4F3AC35E">
      <w:start w:val="1"/>
      <w:numFmt w:val="lowerLetter"/>
      <w:lvlText w:val="%2."/>
      <w:lvlJc w:val="left"/>
      <w:pPr>
        <w:ind w:left="1440" w:hanging="360"/>
      </w:pPr>
    </w:lvl>
    <w:lvl w:ilvl="2" w:tplc="A2A4F60C">
      <w:start w:val="1"/>
      <w:numFmt w:val="lowerRoman"/>
      <w:lvlText w:val="%3."/>
      <w:lvlJc w:val="right"/>
      <w:pPr>
        <w:ind w:left="2160" w:hanging="180"/>
      </w:pPr>
    </w:lvl>
    <w:lvl w:ilvl="3" w:tplc="EAF2F522">
      <w:start w:val="1"/>
      <w:numFmt w:val="decimal"/>
      <w:lvlText w:val="%4."/>
      <w:lvlJc w:val="left"/>
      <w:pPr>
        <w:ind w:left="2880" w:hanging="360"/>
      </w:pPr>
    </w:lvl>
    <w:lvl w:ilvl="4" w:tplc="D74057D0">
      <w:start w:val="1"/>
      <w:numFmt w:val="lowerLetter"/>
      <w:lvlText w:val="%5."/>
      <w:lvlJc w:val="left"/>
      <w:pPr>
        <w:ind w:left="3600" w:hanging="360"/>
      </w:pPr>
    </w:lvl>
    <w:lvl w:ilvl="5" w:tplc="17EAB35C">
      <w:start w:val="1"/>
      <w:numFmt w:val="lowerRoman"/>
      <w:lvlText w:val="%6."/>
      <w:lvlJc w:val="right"/>
      <w:pPr>
        <w:ind w:left="4320" w:hanging="180"/>
      </w:pPr>
    </w:lvl>
    <w:lvl w:ilvl="6" w:tplc="75FE25F0">
      <w:start w:val="1"/>
      <w:numFmt w:val="decimal"/>
      <w:lvlText w:val="%7."/>
      <w:lvlJc w:val="left"/>
      <w:pPr>
        <w:ind w:left="5040" w:hanging="360"/>
      </w:pPr>
    </w:lvl>
    <w:lvl w:ilvl="7" w:tplc="B044D450">
      <w:start w:val="1"/>
      <w:numFmt w:val="lowerLetter"/>
      <w:lvlText w:val="%8."/>
      <w:lvlJc w:val="left"/>
      <w:pPr>
        <w:ind w:left="5760" w:hanging="360"/>
      </w:pPr>
    </w:lvl>
    <w:lvl w:ilvl="8" w:tplc="98EAC600">
      <w:start w:val="1"/>
      <w:numFmt w:val="lowerRoman"/>
      <w:lvlText w:val="%9."/>
      <w:lvlJc w:val="right"/>
      <w:pPr>
        <w:ind w:left="6480" w:hanging="180"/>
      </w:pPr>
    </w:lvl>
  </w:abstractNum>
  <w:abstractNum w:abstractNumId="3" w15:restartNumberingAfterBreak="0">
    <w:nsid w:val="125E4DFF"/>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7B1388"/>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842C3"/>
    <w:multiLevelType w:val="hybridMultilevel"/>
    <w:tmpl w:val="0B80A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A3626"/>
    <w:multiLevelType w:val="hybridMultilevel"/>
    <w:tmpl w:val="0F16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D0BA2"/>
    <w:multiLevelType w:val="hybridMultilevel"/>
    <w:tmpl w:val="1350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E216F"/>
    <w:multiLevelType w:val="hybridMultilevel"/>
    <w:tmpl w:val="E63C1B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E935AC2"/>
    <w:multiLevelType w:val="hybridMultilevel"/>
    <w:tmpl w:val="0B2ABC6C"/>
    <w:lvl w:ilvl="0" w:tplc="F712118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0485A16"/>
    <w:multiLevelType w:val="multilevel"/>
    <w:tmpl w:val="80CEF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F709A3"/>
    <w:multiLevelType w:val="hybridMultilevel"/>
    <w:tmpl w:val="B18C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B332A"/>
    <w:multiLevelType w:val="hybridMultilevel"/>
    <w:tmpl w:val="42EA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A07B1"/>
    <w:multiLevelType w:val="hybridMultilevel"/>
    <w:tmpl w:val="7F38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3A38C5"/>
    <w:multiLevelType w:val="hybridMultilevel"/>
    <w:tmpl w:val="A15CCDD2"/>
    <w:numStyleLink w:val="Bullet"/>
  </w:abstractNum>
  <w:abstractNum w:abstractNumId="15" w15:restartNumberingAfterBreak="0">
    <w:nsid w:val="614600AF"/>
    <w:multiLevelType w:val="hybridMultilevel"/>
    <w:tmpl w:val="C600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2"/>
  </w:num>
  <w:num w:numId="5">
    <w:abstractNumId w:val="8"/>
  </w:num>
  <w:num w:numId="6">
    <w:abstractNumId w:val="8"/>
  </w:num>
  <w:num w:numId="7">
    <w:abstractNumId w:val="11"/>
  </w:num>
  <w:num w:numId="8">
    <w:abstractNumId w:val="15"/>
  </w:num>
  <w:num w:numId="9">
    <w:abstractNumId w:val="7"/>
  </w:num>
  <w:num w:numId="10">
    <w:abstractNumId w:val="13"/>
  </w:num>
  <w:num w:numId="11">
    <w:abstractNumId w:val="12"/>
  </w:num>
  <w:num w:numId="12">
    <w:abstractNumId w:val="0"/>
  </w:num>
  <w:num w:numId="13">
    <w:abstractNumId w:val="14"/>
  </w:num>
  <w:num w:numId="14">
    <w:abstractNumId w:val="1"/>
  </w:num>
  <w:num w:numId="15">
    <w:abstractNumId w:val="1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20"/>
    <w:rsid w:val="00031B1A"/>
    <w:rsid w:val="0004314A"/>
    <w:rsid w:val="00055908"/>
    <w:rsid w:val="00063453"/>
    <w:rsid w:val="000663E5"/>
    <w:rsid w:val="00073534"/>
    <w:rsid w:val="000C5372"/>
    <w:rsid w:val="000E72D5"/>
    <w:rsid w:val="00124185"/>
    <w:rsid w:val="001716C6"/>
    <w:rsid w:val="00175E0D"/>
    <w:rsid w:val="001B3E25"/>
    <w:rsid w:val="001C267B"/>
    <w:rsid w:val="001E663F"/>
    <w:rsid w:val="001E7086"/>
    <w:rsid w:val="001F53E4"/>
    <w:rsid w:val="00202218"/>
    <w:rsid w:val="00210D0F"/>
    <w:rsid w:val="002145CC"/>
    <w:rsid w:val="00221E76"/>
    <w:rsid w:val="002346A6"/>
    <w:rsid w:val="00243E0B"/>
    <w:rsid w:val="00261567"/>
    <w:rsid w:val="00296D70"/>
    <w:rsid w:val="002A2E99"/>
    <w:rsid w:val="002B5FA7"/>
    <w:rsid w:val="002F613E"/>
    <w:rsid w:val="00322C3B"/>
    <w:rsid w:val="00333FB8"/>
    <w:rsid w:val="0033518C"/>
    <w:rsid w:val="00364875"/>
    <w:rsid w:val="00370E1A"/>
    <w:rsid w:val="003C0118"/>
    <w:rsid w:val="003C3620"/>
    <w:rsid w:val="00453677"/>
    <w:rsid w:val="004A12BE"/>
    <w:rsid w:val="00501AD2"/>
    <w:rsid w:val="005210D2"/>
    <w:rsid w:val="005324D3"/>
    <w:rsid w:val="00557E95"/>
    <w:rsid w:val="005861A5"/>
    <w:rsid w:val="005A69C8"/>
    <w:rsid w:val="005A7863"/>
    <w:rsid w:val="005E1F05"/>
    <w:rsid w:val="0068385F"/>
    <w:rsid w:val="006853C3"/>
    <w:rsid w:val="00692797"/>
    <w:rsid w:val="00711F7D"/>
    <w:rsid w:val="00734ABC"/>
    <w:rsid w:val="007460F3"/>
    <w:rsid w:val="007700BA"/>
    <w:rsid w:val="007748F2"/>
    <w:rsid w:val="007A17BE"/>
    <w:rsid w:val="007C110E"/>
    <w:rsid w:val="007E7AC4"/>
    <w:rsid w:val="007F3B94"/>
    <w:rsid w:val="00812AB3"/>
    <w:rsid w:val="0084331A"/>
    <w:rsid w:val="00874723"/>
    <w:rsid w:val="008800B4"/>
    <w:rsid w:val="00892FBF"/>
    <w:rsid w:val="008A2842"/>
    <w:rsid w:val="008B258A"/>
    <w:rsid w:val="008D1B6C"/>
    <w:rsid w:val="008F486D"/>
    <w:rsid w:val="009A69F2"/>
    <w:rsid w:val="009B6C47"/>
    <w:rsid w:val="009B7439"/>
    <w:rsid w:val="009C7EE0"/>
    <w:rsid w:val="009D36F7"/>
    <w:rsid w:val="00A15014"/>
    <w:rsid w:val="00A16508"/>
    <w:rsid w:val="00A506E1"/>
    <w:rsid w:val="00A61327"/>
    <w:rsid w:val="00AB391D"/>
    <w:rsid w:val="00AC54D6"/>
    <w:rsid w:val="00B17A6C"/>
    <w:rsid w:val="00B54BC0"/>
    <w:rsid w:val="00BE1E58"/>
    <w:rsid w:val="00BF2014"/>
    <w:rsid w:val="00C12643"/>
    <w:rsid w:val="00C2142C"/>
    <w:rsid w:val="00C421C4"/>
    <w:rsid w:val="00C70925"/>
    <w:rsid w:val="00C71C22"/>
    <w:rsid w:val="00C740D4"/>
    <w:rsid w:val="00CB7D7D"/>
    <w:rsid w:val="00CC415F"/>
    <w:rsid w:val="00CF4FBA"/>
    <w:rsid w:val="00D30433"/>
    <w:rsid w:val="00DB0AA3"/>
    <w:rsid w:val="00DB5EA9"/>
    <w:rsid w:val="00DE4826"/>
    <w:rsid w:val="00E11A00"/>
    <w:rsid w:val="00E37763"/>
    <w:rsid w:val="00E458EC"/>
    <w:rsid w:val="00E82C75"/>
    <w:rsid w:val="00E959C4"/>
    <w:rsid w:val="00EE1CC5"/>
    <w:rsid w:val="00EE3DCE"/>
    <w:rsid w:val="00F06896"/>
    <w:rsid w:val="00F40858"/>
    <w:rsid w:val="00F74075"/>
    <w:rsid w:val="00F76C43"/>
    <w:rsid w:val="00FB5A21"/>
    <w:rsid w:val="00FC0019"/>
    <w:rsid w:val="00FD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C8BA"/>
  <w15:chartTrackingRefBased/>
  <w15:docId w15:val="{E4248D2D-428B-4D0B-9FFC-16CF92E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1D"/>
    <w:pPr>
      <w:ind w:left="720"/>
      <w:contextualSpacing/>
    </w:pPr>
  </w:style>
  <w:style w:type="character" w:styleId="Hyperlink">
    <w:name w:val="Hyperlink"/>
    <w:basedOn w:val="DefaultParagraphFont"/>
    <w:uiPriority w:val="99"/>
    <w:unhideWhenUsed/>
    <w:rsid w:val="002145CC"/>
    <w:rPr>
      <w:color w:val="0000FF"/>
      <w:u w:val="single"/>
    </w:rPr>
  </w:style>
  <w:style w:type="paragraph" w:styleId="NormalWeb">
    <w:name w:val="Normal (Web)"/>
    <w:basedOn w:val="Normal"/>
    <w:uiPriority w:val="99"/>
    <w:unhideWhenUsed/>
    <w:rsid w:val="002145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2145CC"/>
    <w:rPr>
      <w:b/>
      <w:bCs/>
    </w:rPr>
  </w:style>
  <w:style w:type="character" w:customStyle="1" w:styleId="apple-converted-space">
    <w:name w:val="apple-converted-space"/>
    <w:basedOn w:val="DefaultParagraphFont"/>
    <w:rsid w:val="00AC54D6"/>
  </w:style>
  <w:style w:type="paragraph" w:styleId="NoSpacing">
    <w:name w:val="No Spacing"/>
    <w:uiPriority w:val="1"/>
    <w:qFormat/>
    <w:rsid w:val="009C7EE0"/>
    <w:pPr>
      <w:spacing w:after="0" w:line="240" w:lineRule="auto"/>
    </w:pPr>
  </w:style>
  <w:style w:type="character" w:styleId="FollowedHyperlink">
    <w:name w:val="FollowedHyperlink"/>
    <w:basedOn w:val="DefaultParagraphFont"/>
    <w:uiPriority w:val="99"/>
    <w:semiHidden/>
    <w:unhideWhenUsed/>
    <w:rsid w:val="009C7EE0"/>
    <w:rPr>
      <w:color w:val="954F72" w:themeColor="followedHyperlink"/>
      <w:u w:val="single"/>
    </w:rPr>
  </w:style>
  <w:style w:type="character" w:styleId="Emphasis">
    <w:name w:val="Emphasis"/>
    <w:basedOn w:val="DefaultParagraphFont"/>
    <w:uiPriority w:val="20"/>
    <w:qFormat/>
    <w:rsid w:val="007700BA"/>
    <w:rPr>
      <w:i/>
      <w:iCs/>
    </w:rPr>
  </w:style>
  <w:style w:type="character" w:styleId="UnresolvedMention">
    <w:name w:val="Unresolved Mention"/>
    <w:basedOn w:val="DefaultParagraphFont"/>
    <w:uiPriority w:val="99"/>
    <w:semiHidden/>
    <w:unhideWhenUsed/>
    <w:rsid w:val="00BE1E58"/>
    <w:rPr>
      <w:color w:val="605E5C"/>
      <w:shd w:val="clear" w:color="auto" w:fill="E1DFDD"/>
    </w:rPr>
  </w:style>
  <w:style w:type="paragraph" w:customStyle="1" w:styleId="Body">
    <w:name w:val="Body"/>
    <w:rsid w:val="00370E1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numbering" w:customStyle="1" w:styleId="Bullet">
    <w:name w:val="Bullet"/>
    <w:rsid w:val="00370E1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2154">
      <w:bodyDiv w:val="1"/>
      <w:marLeft w:val="0"/>
      <w:marRight w:val="0"/>
      <w:marTop w:val="0"/>
      <w:marBottom w:val="0"/>
      <w:divBdr>
        <w:top w:val="none" w:sz="0" w:space="0" w:color="auto"/>
        <w:left w:val="none" w:sz="0" w:space="0" w:color="auto"/>
        <w:bottom w:val="none" w:sz="0" w:space="0" w:color="auto"/>
        <w:right w:val="none" w:sz="0" w:space="0" w:color="auto"/>
      </w:divBdr>
    </w:div>
    <w:div w:id="235631803">
      <w:bodyDiv w:val="1"/>
      <w:marLeft w:val="0"/>
      <w:marRight w:val="0"/>
      <w:marTop w:val="0"/>
      <w:marBottom w:val="0"/>
      <w:divBdr>
        <w:top w:val="none" w:sz="0" w:space="0" w:color="auto"/>
        <w:left w:val="none" w:sz="0" w:space="0" w:color="auto"/>
        <w:bottom w:val="none" w:sz="0" w:space="0" w:color="auto"/>
        <w:right w:val="none" w:sz="0" w:space="0" w:color="auto"/>
      </w:divBdr>
    </w:div>
    <w:div w:id="246350242">
      <w:bodyDiv w:val="1"/>
      <w:marLeft w:val="0"/>
      <w:marRight w:val="0"/>
      <w:marTop w:val="0"/>
      <w:marBottom w:val="0"/>
      <w:divBdr>
        <w:top w:val="none" w:sz="0" w:space="0" w:color="auto"/>
        <w:left w:val="none" w:sz="0" w:space="0" w:color="auto"/>
        <w:bottom w:val="none" w:sz="0" w:space="0" w:color="auto"/>
        <w:right w:val="none" w:sz="0" w:space="0" w:color="auto"/>
      </w:divBdr>
    </w:div>
    <w:div w:id="632903616">
      <w:bodyDiv w:val="1"/>
      <w:marLeft w:val="0"/>
      <w:marRight w:val="0"/>
      <w:marTop w:val="0"/>
      <w:marBottom w:val="0"/>
      <w:divBdr>
        <w:top w:val="none" w:sz="0" w:space="0" w:color="auto"/>
        <w:left w:val="none" w:sz="0" w:space="0" w:color="auto"/>
        <w:bottom w:val="none" w:sz="0" w:space="0" w:color="auto"/>
        <w:right w:val="none" w:sz="0" w:space="0" w:color="auto"/>
      </w:divBdr>
    </w:div>
    <w:div w:id="980578239">
      <w:bodyDiv w:val="1"/>
      <w:marLeft w:val="0"/>
      <w:marRight w:val="0"/>
      <w:marTop w:val="0"/>
      <w:marBottom w:val="0"/>
      <w:divBdr>
        <w:top w:val="none" w:sz="0" w:space="0" w:color="auto"/>
        <w:left w:val="none" w:sz="0" w:space="0" w:color="auto"/>
        <w:bottom w:val="none" w:sz="0" w:space="0" w:color="auto"/>
        <w:right w:val="none" w:sz="0" w:space="0" w:color="auto"/>
      </w:divBdr>
    </w:div>
    <w:div w:id="1417172697">
      <w:bodyDiv w:val="1"/>
      <w:marLeft w:val="0"/>
      <w:marRight w:val="0"/>
      <w:marTop w:val="0"/>
      <w:marBottom w:val="0"/>
      <w:divBdr>
        <w:top w:val="none" w:sz="0" w:space="0" w:color="auto"/>
        <w:left w:val="none" w:sz="0" w:space="0" w:color="auto"/>
        <w:bottom w:val="none" w:sz="0" w:space="0" w:color="auto"/>
        <w:right w:val="none" w:sz="0" w:space="0" w:color="auto"/>
      </w:divBdr>
    </w:div>
    <w:div w:id="1420172392">
      <w:bodyDiv w:val="1"/>
      <w:marLeft w:val="0"/>
      <w:marRight w:val="0"/>
      <w:marTop w:val="0"/>
      <w:marBottom w:val="0"/>
      <w:divBdr>
        <w:top w:val="none" w:sz="0" w:space="0" w:color="auto"/>
        <w:left w:val="none" w:sz="0" w:space="0" w:color="auto"/>
        <w:bottom w:val="none" w:sz="0" w:space="0" w:color="auto"/>
        <w:right w:val="none" w:sz="0" w:space="0" w:color="auto"/>
      </w:divBdr>
      <w:divsChild>
        <w:div w:id="603881001">
          <w:marLeft w:val="0"/>
          <w:marRight w:val="5"/>
          <w:marTop w:val="0"/>
          <w:marBottom w:val="0"/>
          <w:divBdr>
            <w:top w:val="none" w:sz="0" w:space="0" w:color="auto"/>
            <w:left w:val="none" w:sz="0" w:space="0" w:color="auto"/>
            <w:bottom w:val="none" w:sz="0" w:space="0" w:color="auto"/>
            <w:right w:val="none" w:sz="0" w:space="0" w:color="auto"/>
          </w:divBdr>
          <w:divsChild>
            <w:div w:id="381950075">
              <w:marLeft w:val="0"/>
              <w:marRight w:val="0"/>
              <w:marTop w:val="0"/>
              <w:marBottom w:val="5"/>
              <w:divBdr>
                <w:top w:val="none" w:sz="0" w:space="0" w:color="auto"/>
                <w:left w:val="none" w:sz="0" w:space="0" w:color="auto"/>
                <w:bottom w:val="none" w:sz="0" w:space="0" w:color="auto"/>
                <w:right w:val="none" w:sz="0" w:space="0" w:color="auto"/>
              </w:divBdr>
              <w:divsChild>
                <w:div w:id="1827546415">
                  <w:marLeft w:val="0"/>
                  <w:marRight w:val="0"/>
                  <w:marTop w:val="0"/>
                  <w:marBottom w:val="0"/>
                  <w:divBdr>
                    <w:top w:val="none" w:sz="0" w:space="0" w:color="auto"/>
                    <w:left w:val="none" w:sz="0" w:space="0" w:color="auto"/>
                    <w:bottom w:val="none" w:sz="0" w:space="0" w:color="auto"/>
                    <w:right w:val="none" w:sz="0" w:space="0" w:color="auto"/>
                  </w:divBdr>
                </w:div>
              </w:divsChild>
            </w:div>
            <w:div w:id="751782648">
              <w:marLeft w:val="0"/>
              <w:marRight w:val="0"/>
              <w:marTop w:val="0"/>
              <w:marBottom w:val="0"/>
              <w:divBdr>
                <w:top w:val="none" w:sz="0" w:space="0" w:color="auto"/>
                <w:left w:val="none" w:sz="0" w:space="0" w:color="auto"/>
                <w:bottom w:val="none" w:sz="0" w:space="0" w:color="auto"/>
                <w:right w:val="none" w:sz="0" w:space="0" w:color="auto"/>
              </w:divBdr>
            </w:div>
          </w:divsChild>
        </w:div>
        <w:div w:id="2019500111">
          <w:marLeft w:val="0"/>
          <w:marRight w:val="0"/>
          <w:marTop w:val="0"/>
          <w:marBottom w:val="5"/>
          <w:divBdr>
            <w:top w:val="none" w:sz="0" w:space="0" w:color="auto"/>
            <w:left w:val="none" w:sz="0" w:space="0" w:color="auto"/>
            <w:bottom w:val="none" w:sz="0" w:space="0" w:color="auto"/>
            <w:right w:val="none" w:sz="0" w:space="0" w:color="auto"/>
          </w:divBdr>
          <w:divsChild>
            <w:div w:id="253362739">
              <w:marLeft w:val="0"/>
              <w:marRight w:val="0"/>
              <w:marTop w:val="0"/>
              <w:marBottom w:val="0"/>
              <w:divBdr>
                <w:top w:val="none" w:sz="0" w:space="0" w:color="auto"/>
                <w:left w:val="none" w:sz="0" w:space="0" w:color="auto"/>
                <w:bottom w:val="none" w:sz="0" w:space="0" w:color="auto"/>
                <w:right w:val="none" w:sz="0" w:space="0" w:color="auto"/>
              </w:divBdr>
            </w:div>
          </w:divsChild>
        </w:div>
        <w:div w:id="57945380">
          <w:marLeft w:val="0"/>
          <w:marRight w:val="0"/>
          <w:marTop w:val="0"/>
          <w:marBottom w:val="0"/>
          <w:divBdr>
            <w:top w:val="none" w:sz="0" w:space="0" w:color="auto"/>
            <w:left w:val="none" w:sz="0" w:space="0" w:color="auto"/>
            <w:bottom w:val="none" w:sz="0" w:space="0" w:color="auto"/>
            <w:right w:val="none" w:sz="0" w:space="0" w:color="auto"/>
          </w:divBdr>
        </w:div>
      </w:divsChild>
    </w:div>
    <w:div w:id="1739593762">
      <w:bodyDiv w:val="1"/>
      <w:marLeft w:val="0"/>
      <w:marRight w:val="0"/>
      <w:marTop w:val="0"/>
      <w:marBottom w:val="0"/>
      <w:divBdr>
        <w:top w:val="none" w:sz="0" w:space="0" w:color="auto"/>
        <w:left w:val="none" w:sz="0" w:space="0" w:color="auto"/>
        <w:bottom w:val="none" w:sz="0" w:space="0" w:color="auto"/>
        <w:right w:val="none" w:sz="0" w:space="0" w:color="auto"/>
      </w:divBdr>
    </w:div>
    <w:div w:id="20955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Adlen</dc:creator>
  <cp:keywords/>
  <dc:description/>
  <cp:lastModifiedBy>Rachael Zaidel-Lamb</cp:lastModifiedBy>
  <cp:revision>2</cp:revision>
  <dcterms:created xsi:type="dcterms:W3CDTF">2020-08-19T15:01:00Z</dcterms:created>
  <dcterms:modified xsi:type="dcterms:W3CDTF">2020-08-19T15:01:00Z</dcterms:modified>
</cp:coreProperties>
</file>